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BBD0C" w14:textId="77777777" w:rsidR="00F2470E" w:rsidRDefault="00F2470E"/>
    <w:p w14:paraId="3BA05F15" w14:textId="77777777" w:rsidR="00F2470E" w:rsidRDefault="00A728FD">
      <w:r>
        <w:rPr>
          <w:noProof/>
          <w:lang w:eastAsia="en-GB"/>
        </w:rPr>
        <w:drawing>
          <wp:anchor distT="36576" distB="36576" distL="36576" distR="36576" simplePos="0" relativeHeight="251658240" behindDoc="0" locked="0" layoutInCell="1" allowOverlap="1" wp14:anchorId="4C1BFDF7" wp14:editId="68EAC54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6C8DDC" w14:textId="77777777" w:rsidR="00F2470E" w:rsidRDefault="00F2470E"/>
    <w:p w14:paraId="698AF39B" w14:textId="77777777" w:rsidR="00F2470E" w:rsidRDefault="00F2470E"/>
    <w:p w14:paraId="12B0747A" w14:textId="77777777" w:rsidR="00F2470E" w:rsidRDefault="00F2470E"/>
    <w:p w14:paraId="167126C4" w14:textId="77777777" w:rsidR="00F2470E" w:rsidRDefault="00F2470E"/>
    <w:p w14:paraId="0DE8FAC2" w14:textId="77777777" w:rsidR="00F2470E" w:rsidRDefault="00F2470E"/>
    <w:p w14:paraId="3DE897E1" w14:textId="77777777" w:rsidR="00F2470E" w:rsidRDefault="00F2470E"/>
    <w:p w14:paraId="1F175D72" w14:textId="77777777" w:rsidR="00F2470E" w:rsidRDefault="00F2470E"/>
    <w:p w14:paraId="5E68958F" w14:textId="77777777" w:rsidR="00F2470E" w:rsidRDefault="00F2470E">
      <w:pPr>
        <w:rPr>
          <w:b/>
          <w:sz w:val="96"/>
          <w:szCs w:val="96"/>
        </w:rPr>
      </w:pPr>
    </w:p>
    <w:p w14:paraId="6D3E8329" w14:textId="77777777" w:rsidR="00F2470E" w:rsidRPr="006111EE" w:rsidRDefault="006111EE" w:rsidP="006111EE">
      <w:pPr>
        <w:pStyle w:val="NoSpacing"/>
        <w:jc w:val="center"/>
        <w:rPr>
          <w:rFonts w:cstheme="minorHAnsi"/>
          <w:b/>
          <w:sz w:val="96"/>
          <w:szCs w:val="96"/>
        </w:rPr>
      </w:pPr>
      <w:r w:rsidRPr="006111EE">
        <w:rPr>
          <w:rFonts w:cstheme="minorHAnsi"/>
          <w:b/>
          <w:sz w:val="96"/>
          <w:szCs w:val="96"/>
        </w:rPr>
        <w:t xml:space="preserve">Premises Management </w:t>
      </w:r>
      <w:r w:rsidR="00A728FD" w:rsidRPr="006111EE">
        <w:rPr>
          <w:rFonts w:cstheme="minorHAnsi"/>
          <w:b/>
          <w:sz w:val="96"/>
          <w:szCs w:val="96"/>
        </w:rPr>
        <w:t>Policy</w:t>
      </w:r>
    </w:p>
    <w:p w14:paraId="123AB189" w14:textId="77777777" w:rsidR="00F2470E" w:rsidRDefault="00F2470E">
      <w:pPr>
        <w:jc w:val="center"/>
        <w:rPr>
          <w:b/>
          <w:sz w:val="96"/>
          <w:szCs w:val="96"/>
        </w:rPr>
      </w:pP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1B581CDD" w14:textId="77777777">
        <w:trPr>
          <w:trHeight w:val="284"/>
        </w:trPr>
        <w:tc>
          <w:tcPr>
            <w:tcW w:w="1975" w:type="dxa"/>
          </w:tcPr>
          <w:p w14:paraId="70B98F23" w14:textId="77777777" w:rsidR="00F2470E" w:rsidRDefault="00A728FD">
            <w:pPr>
              <w:ind w:right="-613"/>
              <w:rPr>
                <w:rFonts w:eastAsia="Calibri"/>
                <w:b/>
              </w:rPr>
            </w:pPr>
            <w:r>
              <w:rPr>
                <w:rFonts w:eastAsia="Calibri"/>
                <w:b/>
              </w:rPr>
              <w:t>Policy Date:</w:t>
            </w:r>
          </w:p>
        </w:tc>
        <w:tc>
          <w:tcPr>
            <w:tcW w:w="1613" w:type="dxa"/>
          </w:tcPr>
          <w:p w14:paraId="19B51EAA" w14:textId="190D8D77" w:rsidR="00F2470E" w:rsidRPr="006111EE" w:rsidRDefault="003D4896">
            <w:pPr>
              <w:ind w:right="-108"/>
              <w:rPr>
                <w:rFonts w:eastAsia="Calibri"/>
              </w:rPr>
            </w:pPr>
            <w:r>
              <w:rPr>
                <w:rFonts w:eastAsia="Calibri"/>
              </w:rPr>
              <w:t>January</w:t>
            </w:r>
            <w:r w:rsidR="00A728FD" w:rsidRPr="006111EE">
              <w:rPr>
                <w:rFonts w:eastAsia="Calibri"/>
              </w:rPr>
              <w:t xml:space="preserve"> 202</w:t>
            </w:r>
            <w:r w:rsidR="004C0DDB">
              <w:rPr>
                <w:rFonts w:eastAsia="Calibri"/>
              </w:rPr>
              <w:t>6</w:t>
            </w:r>
          </w:p>
        </w:tc>
        <w:tc>
          <w:tcPr>
            <w:tcW w:w="268" w:type="dxa"/>
            <w:vMerge w:val="restart"/>
          </w:tcPr>
          <w:p w14:paraId="5466176E" w14:textId="77777777" w:rsidR="00F2470E" w:rsidRDefault="00F2470E">
            <w:pPr>
              <w:ind w:right="-613"/>
              <w:rPr>
                <w:rFonts w:eastAsia="Calibri"/>
              </w:rPr>
            </w:pPr>
          </w:p>
        </w:tc>
        <w:tc>
          <w:tcPr>
            <w:tcW w:w="6000" w:type="dxa"/>
            <w:gridSpan w:val="2"/>
          </w:tcPr>
          <w:p w14:paraId="6B9DAF39" w14:textId="77777777" w:rsidR="00F2470E" w:rsidRDefault="00A728FD">
            <w:pPr>
              <w:ind w:right="-613"/>
              <w:rPr>
                <w:rFonts w:eastAsia="Calibri"/>
              </w:rPr>
            </w:pPr>
            <w:r>
              <w:rPr>
                <w:rFonts w:eastAsia="Calibri"/>
                <w:b/>
              </w:rPr>
              <w:t>Version:</w:t>
            </w:r>
            <w:r>
              <w:rPr>
                <w:rFonts w:eastAsia="Calibri"/>
              </w:rPr>
              <w:t xml:space="preserve"> 1.2</w:t>
            </w:r>
          </w:p>
        </w:tc>
      </w:tr>
      <w:tr w:rsidR="00F2470E" w14:paraId="6F1ED3BF" w14:textId="77777777">
        <w:trPr>
          <w:trHeight w:val="680"/>
        </w:trPr>
        <w:tc>
          <w:tcPr>
            <w:tcW w:w="1975" w:type="dxa"/>
          </w:tcPr>
          <w:p w14:paraId="1E580734" w14:textId="77777777" w:rsidR="00F2470E" w:rsidRDefault="00A728FD">
            <w:pPr>
              <w:ind w:right="-613"/>
              <w:rPr>
                <w:rFonts w:eastAsia="Calibri"/>
                <w:b/>
              </w:rPr>
            </w:pPr>
            <w:r>
              <w:rPr>
                <w:rFonts w:eastAsia="Calibri"/>
                <w:b/>
              </w:rPr>
              <w:t>Policy Review Date:</w:t>
            </w:r>
          </w:p>
        </w:tc>
        <w:tc>
          <w:tcPr>
            <w:tcW w:w="1613" w:type="dxa"/>
          </w:tcPr>
          <w:p w14:paraId="32192338" w14:textId="5F11D891" w:rsidR="00F2470E" w:rsidRPr="006111EE" w:rsidRDefault="006111EE">
            <w:pPr>
              <w:ind w:right="-108"/>
              <w:rPr>
                <w:rFonts w:eastAsia="Calibri"/>
              </w:rPr>
            </w:pPr>
            <w:r w:rsidRPr="006111EE">
              <w:rPr>
                <w:rFonts w:eastAsia="Calibri"/>
              </w:rPr>
              <w:t>January</w:t>
            </w:r>
            <w:r w:rsidR="00A728FD" w:rsidRPr="006111EE">
              <w:rPr>
                <w:rFonts w:eastAsia="Calibri"/>
              </w:rPr>
              <w:t xml:space="preserve"> 202</w:t>
            </w:r>
            <w:r w:rsidR="004C0DDB">
              <w:rPr>
                <w:rFonts w:eastAsia="Calibri"/>
              </w:rPr>
              <w:t>7</w:t>
            </w:r>
          </w:p>
        </w:tc>
        <w:tc>
          <w:tcPr>
            <w:tcW w:w="268" w:type="dxa"/>
            <w:vMerge/>
          </w:tcPr>
          <w:p w14:paraId="0968E035" w14:textId="77777777" w:rsidR="00F2470E" w:rsidRDefault="00F2470E">
            <w:pPr>
              <w:ind w:right="-613"/>
              <w:rPr>
                <w:rFonts w:eastAsia="Calibri"/>
              </w:rPr>
            </w:pPr>
          </w:p>
        </w:tc>
        <w:tc>
          <w:tcPr>
            <w:tcW w:w="2666" w:type="dxa"/>
          </w:tcPr>
          <w:p w14:paraId="176E01F6" w14:textId="77777777" w:rsidR="00F2470E" w:rsidRDefault="00A728FD">
            <w:pPr>
              <w:ind w:right="-108"/>
              <w:rPr>
                <w:rFonts w:eastAsia="Calibri"/>
              </w:rPr>
            </w:pPr>
            <w:r>
              <w:rPr>
                <w:rFonts w:eastAsia="Calibri"/>
              </w:rPr>
              <w:t>Headteacher:</w:t>
            </w:r>
          </w:p>
          <w:p w14:paraId="724DF063" w14:textId="77777777" w:rsidR="00F2470E" w:rsidRDefault="00A728FD">
            <w:pPr>
              <w:ind w:right="-108"/>
              <w:rPr>
                <w:rFonts w:eastAsia="Calibri"/>
              </w:rPr>
            </w:pPr>
            <w:r>
              <w:rPr>
                <w:rFonts w:eastAsia="Calibri"/>
              </w:rPr>
              <w:t>Nitash Odedra</w:t>
            </w:r>
          </w:p>
        </w:tc>
        <w:tc>
          <w:tcPr>
            <w:tcW w:w="3334" w:type="dxa"/>
          </w:tcPr>
          <w:p w14:paraId="330C04BF"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119FC2EA" wp14:editId="3905375E">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1501FEBD" w14:textId="77777777">
        <w:trPr>
          <w:trHeight w:val="284"/>
        </w:trPr>
        <w:tc>
          <w:tcPr>
            <w:tcW w:w="9856" w:type="dxa"/>
            <w:gridSpan w:val="5"/>
          </w:tcPr>
          <w:p w14:paraId="0CAE47B7" w14:textId="77777777" w:rsidR="00F2470E" w:rsidRDefault="00A728FD">
            <w:pPr>
              <w:ind w:right="176"/>
              <w:rPr>
                <w:rFonts w:eastAsia="Calibri"/>
              </w:rPr>
            </w:pPr>
            <w:r>
              <w:rPr>
                <w:rFonts w:eastAsia="Calibri"/>
                <w:b/>
              </w:rPr>
              <w:t>Ratified by Governing Body:</w:t>
            </w:r>
          </w:p>
        </w:tc>
      </w:tr>
      <w:tr w:rsidR="00F2470E" w14:paraId="4967EFEA" w14:textId="77777777">
        <w:trPr>
          <w:trHeight w:val="869"/>
        </w:trPr>
        <w:tc>
          <w:tcPr>
            <w:tcW w:w="3856" w:type="dxa"/>
            <w:gridSpan w:val="3"/>
          </w:tcPr>
          <w:p w14:paraId="0896688A" w14:textId="77777777" w:rsidR="00F2470E" w:rsidRDefault="00A728FD">
            <w:pPr>
              <w:ind w:right="-108"/>
              <w:rPr>
                <w:rFonts w:eastAsia="Calibri"/>
              </w:rPr>
            </w:pPr>
            <w:r>
              <w:rPr>
                <w:rFonts w:eastAsia="Calibri"/>
              </w:rPr>
              <w:t>Chair of Governors: Sue Welford</w:t>
            </w:r>
          </w:p>
        </w:tc>
        <w:tc>
          <w:tcPr>
            <w:tcW w:w="6000" w:type="dxa"/>
            <w:gridSpan w:val="2"/>
          </w:tcPr>
          <w:p w14:paraId="0D351B60"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1829D902" wp14:editId="1876DC9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336BCD22" w14:textId="77777777" w:rsidR="00F2470E" w:rsidRDefault="00F2470E">
      <w:pPr>
        <w:pStyle w:val="Default"/>
        <w:rPr>
          <w:b/>
        </w:rPr>
      </w:pPr>
    </w:p>
    <w:p w14:paraId="49A9651F" w14:textId="77777777" w:rsidR="00F2470E" w:rsidRDefault="00F2470E">
      <w:pPr>
        <w:pStyle w:val="Default"/>
        <w:rPr>
          <w:b/>
        </w:rPr>
      </w:pPr>
    </w:p>
    <w:p w14:paraId="029932F4" w14:textId="77777777" w:rsidR="00F2470E" w:rsidRDefault="00F2470E">
      <w:pPr>
        <w:pStyle w:val="Default"/>
        <w:rPr>
          <w:b/>
        </w:rPr>
      </w:pPr>
    </w:p>
    <w:p w14:paraId="4A446234" w14:textId="77777777" w:rsidR="00F2470E" w:rsidRDefault="00F2470E">
      <w:pPr>
        <w:pStyle w:val="Default"/>
        <w:rPr>
          <w:b/>
        </w:rPr>
      </w:pPr>
    </w:p>
    <w:p w14:paraId="3C783B23" w14:textId="77777777" w:rsidR="00F2470E" w:rsidRDefault="00F2470E">
      <w:pPr>
        <w:pStyle w:val="Default"/>
        <w:rPr>
          <w:b/>
        </w:rPr>
      </w:pPr>
    </w:p>
    <w:p w14:paraId="6B817AD0" w14:textId="77777777" w:rsidR="00F2470E" w:rsidRDefault="00F2470E">
      <w:pPr>
        <w:pStyle w:val="Default"/>
        <w:rPr>
          <w:b/>
        </w:rPr>
      </w:pPr>
    </w:p>
    <w:p w14:paraId="61517A3E" w14:textId="77777777" w:rsidR="00F2470E" w:rsidRDefault="00F2470E">
      <w:pPr>
        <w:pStyle w:val="Default"/>
        <w:rPr>
          <w:b/>
        </w:rPr>
      </w:pPr>
    </w:p>
    <w:p w14:paraId="0DCB7FF5" w14:textId="77777777" w:rsidR="006111EE" w:rsidRDefault="006111EE">
      <w:pPr>
        <w:pStyle w:val="Default"/>
        <w:rPr>
          <w:b/>
        </w:rPr>
      </w:pPr>
    </w:p>
    <w:p w14:paraId="52F88EE7" w14:textId="77777777" w:rsidR="006111EE" w:rsidRDefault="006111EE">
      <w:pPr>
        <w:pStyle w:val="Default"/>
        <w:rPr>
          <w:b/>
        </w:rPr>
      </w:pPr>
    </w:p>
    <w:p w14:paraId="248F16E6" w14:textId="77777777" w:rsidR="006111EE" w:rsidRPr="00BC6A90" w:rsidRDefault="006111EE" w:rsidP="006111EE">
      <w:pPr>
        <w:pStyle w:val="Heading1"/>
        <w:rPr>
          <w:rFonts w:ascii="Century Gothic" w:hAnsi="Century Gothic"/>
          <w:sz w:val="20"/>
          <w:szCs w:val="22"/>
        </w:rPr>
      </w:pPr>
      <w:bookmarkStart w:id="0" w:name="_Toc22223429"/>
      <w:r w:rsidRPr="00BC6A90">
        <w:rPr>
          <w:rFonts w:ascii="Century Gothic" w:hAnsi="Century Gothic"/>
          <w:sz w:val="20"/>
          <w:szCs w:val="22"/>
        </w:rPr>
        <w:lastRenderedPageBreak/>
        <w:t>1. Aims</w:t>
      </w:r>
      <w:bookmarkEnd w:id="0"/>
    </w:p>
    <w:p w14:paraId="206E4D5F" w14:textId="77777777" w:rsidR="006111EE" w:rsidRPr="00BC6A90" w:rsidRDefault="006111EE" w:rsidP="006111EE">
      <w:pPr>
        <w:pStyle w:val="1bodycopy10pt"/>
        <w:rPr>
          <w:rFonts w:ascii="Century Gothic" w:hAnsi="Century Gothic"/>
          <w:szCs w:val="22"/>
        </w:rPr>
      </w:pPr>
      <w:r w:rsidRPr="00BC6A90">
        <w:rPr>
          <w:rFonts w:ascii="Century Gothic" w:hAnsi="Century Gothic"/>
          <w:szCs w:val="22"/>
        </w:rPr>
        <w:t>Our school aims to ensure that it:</w:t>
      </w:r>
    </w:p>
    <w:p w14:paraId="429B0ADB"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 xml:space="preserve">Manages its buildings and equipment in an efficient, legally compliant way </w:t>
      </w:r>
    </w:p>
    <w:p w14:paraId="50FC4920"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 xml:space="preserve">Inspects and tests buildings and equipment regularly, </w:t>
      </w:r>
      <w:proofErr w:type="gramStart"/>
      <w:r w:rsidRPr="00BC6A90">
        <w:rPr>
          <w:rFonts w:ascii="Century Gothic" w:hAnsi="Century Gothic"/>
          <w:szCs w:val="22"/>
        </w:rPr>
        <w:t>taking into account</w:t>
      </w:r>
      <w:proofErr w:type="gramEnd"/>
      <w:r w:rsidRPr="00BC6A90">
        <w:rPr>
          <w:rFonts w:ascii="Century Gothic" w:hAnsi="Century Gothic"/>
          <w:szCs w:val="22"/>
        </w:rPr>
        <w:t xml:space="preserve"> statutory requirements and best practice recommendations</w:t>
      </w:r>
    </w:p>
    <w:p w14:paraId="798E3B18"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 xml:space="preserve">Promotes the safety and wellbeing of our staff, pupils, parents and visitors through effective maintenance of buildings and equipment in accordance with the </w:t>
      </w:r>
      <w:hyperlink r:id="rId15" w:history="1">
        <w:r w:rsidRPr="00BC6A90">
          <w:rPr>
            <w:rStyle w:val="Hyperlink"/>
            <w:rFonts w:ascii="Century Gothic" w:hAnsi="Century Gothic"/>
            <w:szCs w:val="22"/>
          </w:rPr>
          <w:t>Health and Safety at Work etc. Act 1974</w:t>
        </w:r>
      </w:hyperlink>
    </w:p>
    <w:p w14:paraId="607E0C31"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 xml:space="preserve">Complies with the requirements of the </w:t>
      </w:r>
      <w:hyperlink r:id="rId16" w:history="1">
        <w:r w:rsidRPr="00BC6A90">
          <w:rPr>
            <w:rStyle w:val="Hyperlink"/>
            <w:rFonts w:ascii="Century Gothic" w:hAnsi="Century Gothic"/>
            <w:szCs w:val="22"/>
          </w:rPr>
          <w:t>School Premises (England) Regulations 2012</w:t>
        </w:r>
      </w:hyperlink>
    </w:p>
    <w:p w14:paraId="5EA69308"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 xml:space="preserve">Complies with the requirements of the </w:t>
      </w:r>
      <w:hyperlink r:id="rId17" w:history="1">
        <w:r w:rsidRPr="00BC6A90">
          <w:rPr>
            <w:rStyle w:val="Hyperlink"/>
            <w:rFonts w:ascii="Century Gothic" w:hAnsi="Century Gothic"/>
            <w:szCs w:val="22"/>
          </w:rPr>
          <w:t>statutory framework for the EYFS</w:t>
        </w:r>
      </w:hyperlink>
    </w:p>
    <w:p w14:paraId="376394F0" w14:textId="77777777" w:rsidR="006111EE" w:rsidRPr="00BC6A90" w:rsidRDefault="006111EE" w:rsidP="006111EE">
      <w:pPr>
        <w:pStyle w:val="4Bulletedcopyblue"/>
        <w:numPr>
          <w:ilvl w:val="0"/>
          <w:numId w:val="0"/>
        </w:numPr>
        <w:ind w:left="340"/>
        <w:rPr>
          <w:rFonts w:ascii="Century Gothic" w:hAnsi="Century Gothic"/>
          <w:szCs w:val="22"/>
        </w:rPr>
      </w:pPr>
    </w:p>
    <w:p w14:paraId="02559EC5" w14:textId="77777777" w:rsidR="006111EE" w:rsidRPr="00BC6A90" w:rsidRDefault="006111EE" w:rsidP="006111EE">
      <w:pPr>
        <w:pStyle w:val="Heading1"/>
        <w:rPr>
          <w:rFonts w:ascii="Century Gothic" w:hAnsi="Century Gothic"/>
          <w:sz w:val="20"/>
          <w:szCs w:val="22"/>
        </w:rPr>
      </w:pPr>
      <w:bookmarkStart w:id="1" w:name="_Toc497386606"/>
      <w:bookmarkStart w:id="2" w:name="_Toc11855313"/>
      <w:bookmarkStart w:id="3" w:name="_Toc22223430"/>
      <w:r w:rsidRPr="00BC6A90">
        <w:rPr>
          <w:rFonts w:ascii="Century Gothic" w:hAnsi="Century Gothic"/>
          <w:sz w:val="20"/>
          <w:szCs w:val="22"/>
        </w:rPr>
        <w:t>2. Guidance</w:t>
      </w:r>
      <w:bookmarkEnd w:id="1"/>
      <w:bookmarkEnd w:id="2"/>
      <w:bookmarkEnd w:id="3"/>
    </w:p>
    <w:p w14:paraId="29B8AE67" w14:textId="77777777" w:rsidR="006111EE" w:rsidRPr="00BC6A90" w:rsidRDefault="006111EE" w:rsidP="006111EE">
      <w:pPr>
        <w:pStyle w:val="1bodycopy10pt"/>
        <w:rPr>
          <w:rFonts w:ascii="Century Gothic" w:hAnsi="Century Gothic"/>
          <w:szCs w:val="22"/>
        </w:rPr>
      </w:pPr>
      <w:r w:rsidRPr="00BC6A90">
        <w:rPr>
          <w:rFonts w:ascii="Century Gothic" w:hAnsi="Century Gothic"/>
          <w:szCs w:val="22"/>
        </w:rPr>
        <w:t xml:space="preserve">This document is based on the Department for Education’s guidance on </w:t>
      </w:r>
      <w:hyperlink r:id="rId18" w:history="1">
        <w:r w:rsidRPr="00BC6A90">
          <w:rPr>
            <w:rStyle w:val="Hyperlink"/>
            <w:rFonts w:ascii="Century Gothic" w:hAnsi="Century Gothic"/>
            <w:szCs w:val="22"/>
          </w:rPr>
          <w:t>good estate management for schools</w:t>
        </w:r>
      </w:hyperlink>
      <w:r w:rsidRPr="00BC6A90">
        <w:rPr>
          <w:rFonts w:ascii="Century Gothic" w:hAnsi="Century Gothic"/>
          <w:szCs w:val="22"/>
        </w:rPr>
        <w:t>.</w:t>
      </w:r>
    </w:p>
    <w:p w14:paraId="2D078029" w14:textId="77777777" w:rsidR="006111EE" w:rsidRPr="00BC6A90" w:rsidRDefault="006111EE" w:rsidP="006111EE">
      <w:pPr>
        <w:rPr>
          <w:rFonts w:ascii="Century Gothic" w:hAnsi="Century Gothic"/>
          <w:sz w:val="20"/>
        </w:rPr>
      </w:pPr>
    </w:p>
    <w:p w14:paraId="13CC6E1A" w14:textId="77777777" w:rsidR="006111EE" w:rsidRPr="00BC6A90" w:rsidRDefault="006111EE" w:rsidP="006111EE">
      <w:pPr>
        <w:pStyle w:val="Heading1"/>
        <w:rPr>
          <w:rFonts w:ascii="Century Gothic" w:hAnsi="Century Gothic"/>
          <w:sz w:val="20"/>
          <w:szCs w:val="22"/>
        </w:rPr>
      </w:pPr>
      <w:bookmarkStart w:id="4" w:name="_Toc497386607"/>
      <w:bookmarkStart w:id="5" w:name="_Toc11855314"/>
      <w:bookmarkStart w:id="6" w:name="_Toc22223431"/>
      <w:r w:rsidRPr="00BC6A90">
        <w:rPr>
          <w:rFonts w:ascii="Century Gothic" w:hAnsi="Century Gothic"/>
          <w:sz w:val="20"/>
          <w:szCs w:val="22"/>
        </w:rPr>
        <w:t>3. Roles and responsibilities</w:t>
      </w:r>
      <w:bookmarkEnd w:id="4"/>
      <w:bookmarkEnd w:id="5"/>
      <w:bookmarkEnd w:id="6"/>
    </w:p>
    <w:p w14:paraId="24A8A0AE" w14:textId="7402E954" w:rsidR="006111EE" w:rsidRPr="00BC6A90" w:rsidRDefault="006111EE" w:rsidP="006111EE">
      <w:pPr>
        <w:pStyle w:val="4Bulletedcopyblue"/>
        <w:numPr>
          <w:ilvl w:val="0"/>
          <w:numId w:val="0"/>
        </w:numPr>
        <w:rPr>
          <w:rFonts w:ascii="Century Gothic" w:hAnsi="Century Gothic"/>
          <w:szCs w:val="22"/>
        </w:rPr>
      </w:pPr>
      <w:r w:rsidRPr="00BC6A90">
        <w:rPr>
          <w:rFonts w:ascii="Century Gothic" w:hAnsi="Century Gothic"/>
          <w:szCs w:val="22"/>
        </w:rPr>
        <w:t>The school and the local authority (LA) and schools have responsibilities for the repair and maintenance of premises</w:t>
      </w:r>
      <w:r w:rsidR="005A6D25">
        <w:rPr>
          <w:rFonts w:ascii="Century Gothic" w:hAnsi="Century Gothic"/>
          <w:szCs w:val="22"/>
        </w:rPr>
        <w:t>.</w:t>
      </w:r>
    </w:p>
    <w:p w14:paraId="742906C1" w14:textId="77777777" w:rsidR="006111EE" w:rsidRPr="00BC6A90" w:rsidRDefault="006111EE" w:rsidP="006111EE">
      <w:pPr>
        <w:pStyle w:val="1bodycopy10pt"/>
        <w:rPr>
          <w:rFonts w:ascii="Century Gothic" w:hAnsi="Century Gothic"/>
          <w:szCs w:val="22"/>
          <w:highlight w:val="yellow"/>
        </w:rPr>
      </w:pPr>
      <w:r w:rsidRPr="00BC6A90">
        <w:rPr>
          <w:rFonts w:ascii="Century Gothic" w:hAnsi="Century Gothic"/>
          <w:szCs w:val="22"/>
        </w:rPr>
        <w:t xml:space="preserve">The governing board, headteacher and site manager will ensure this premises management policy is properly implemented, and that tests and inspections are carried out in accordance with this policy. </w:t>
      </w:r>
    </w:p>
    <w:p w14:paraId="64F50842" w14:textId="04F351A7" w:rsidR="006111EE" w:rsidRPr="00BC6A90" w:rsidRDefault="006111EE" w:rsidP="006111EE">
      <w:pPr>
        <w:pStyle w:val="1bodycopy10pt"/>
        <w:rPr>
          <w:rFonts w:ascii="Century Gothic" w:hAnsi="Century Gothic"/>
          <w:szCs w:val="22"/>
        </w:rPr>
      </w:pPr>
      <w:r w:rsidRPr="00BC6A90">
        <w:rPr>
          <w:rFonts w:ascii="Century Gothic" w:hAnsi="Century Gothic"/>
          <w:szCs w:val="22"/>
        </w:rPr>
        <w:t>The headteacher</w:t>
      </w:r>
      <w:r w:rsidR="005A6D25">
        <w:rPr>
          <w:rFonts w:ascii="Century Gothic" w:hAnsi="Century Gothic"/>
          <w:szCs w:val="22"/>
        </w:rPr>
        <w:t xml:space="preserve"> and business manager </w:t>
      </w:r>
      <w:r w:rsidRPr="00BC6A90">
        <w:rPr>
          <w:rFonts w:ascii="Century Gothic" w:hAnsi="Century Gothic"/>
          <w:szCs w:val="22"/>
        </w:rPr>
        <w:t>are responsible for ensuring relevant risk assessments are conducted and for reporting to the governing board, as required.</w:t>
      </w:r>
    </w:p>
    <w:p w14:paraId="274AA66B" w14:textId="62D57C7B" w:rsidR="006111EE" w:rsidRPr="00BC6A90" w:rsidRDefault="006111EE" w:rsidP="006111EE">
      <w:pPr>
        <w:pStyle w:val="1bodycopy"/>
        <w:rPr>
          <w:rFonts w:ascii="Century Gothic" w:hAnsi="Century Gothic"/>
          <w:szCs w:val="22"/>
        </w:rPr>
      </w:pPr>
      <w:r w:rsidRPr="00BC6A90">
        <w:rPr>
          <w:rFonts w:ascii="Century Gothic" w:hAnsi="Century Gothic"/>
          <w:szCs w:val="22"/>
        </w:rPr>
        <w:t>The site manager is responsible for:</w:t>
      </w:r>
    </w:p>
    <w:p w14:paraId="75DF138F"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Inspecting and maintaining the school premises</w:t>
      </w:r>
    </w:p>
    <w:p w14:paraId="09FE5A1A"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Conducting repairs and maintenance</w:t>
      </w:r>
    </w:p>
    <w:p w14:paraId="7DD34260"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Being the first point of contact for any issues with the premises</w:t>
      </w:r>
    </w:p>
    <w:p w14:paraId="2CA66027"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Conducting and keeping a record of risk assessments and incident logs related to the school premises</w:t>
      </w:r>
    </w:p>
    <w:p w14:paraId="05C374A4"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Liaising with the headteacher about what actions need to be taken to keep the school premises safe</w:t>
      </w:r>
    </w:p>
    <w:p w14:paraId="365E5B18" w14:textId="77777777" w:rsidR="006111EE" w:rsidRPr="00BC6A90" w:rsidRDefault="006111EE" w:rsidP="006111EE">
      <w:pPr>
        <w:pStyle w:val="1bodycopy10pt"/>
        <w:rPr>
          <w:rFonts w:ascii="Century Gothic" w:hAnsi="Century Gothic"/>
          <w:szCs w:val="22"/>
        </w:rPr>
      </w:pPr>
      <w:r w:rsidRPr="00BC6A90">
        <w:rPr>
          <w:rFonts w:ascii="Century Gothic" w:hAnsi="Century Gothic"/>
          <w:szCs w:val="22"/>
        </w:rPr>
        <w:t>This list is not intended to be exhaustive.</w:t>
      </w:r>
    </w:p>
    <w:p w14:paraId="5CD9854E" w14:textId="77777777" w:rsidR="006111EE" w:rsidRPr="00BC6A90" w:rsidRDefault="006111EE" w:rsidP="006111EE">
      <w:pPr>
        <w:pStyle w:val="1bodycopy10pt"/>
        <w:rPr>
          <w:rFonts w:ascii="Century Gothic" w:hAnsi="Century Gothic"/>
          <w:szCs w:val="22"/>
        </w:rPr>
      </w:pPr>
    </w:p>
    <w:p w14:paraId="1FDBD628" w14:textId="77777777" w:rsidR="006111EE" w:rsidRPr="00BC6A90" w:rsidRDefault="006111EE" w:rsidP="006111EE">
      <w:pPr>
        <w:pStyle w:val="Heading1"/>
        <w:rPr>
          <w:rFonts w:ascii="Century Gothic" w:hAnsi="Century Gothic"/>
          <w:sz w:val="20"/>
          <w:szCs w:val="22"/>
        </w:rPr>
      </w:pPr>
      <w:bookmarkStart w:id="7" w:name="_Toc497386608"/>
      <w:bookmarkStart w:id="8" w:name="_Toc11855315"/>
      <w:bookmarkStart w:id="9" w:name="_Toc22223432"/>
      <w:r w:rsidRPr="00BC6A90">
        <w:rPr>
          <w:rFonts w:ascii="Century Gothic" w:hAnsi="Century Gothic"/>
          <w:sz w:val="20"/>
          <w:szCs w:val="22"/>
        </w:rPr>
        <w:t>4. Inspection and testing</w:t>
      </w:r>
      <w:bookmarkEnd w:id="7"/>
      <w:bookmarkEnd w:id="8"/>
      <w:bookmarkEnd w:id="9"/>
    </w:p>
    <w:p w14:paraId="4FB387AF" w14:textId="77777777" w:rsidR="006111EE" w:rsidRPr="00BC6A90" w:rsidRDefault="006111EE" w:rsidP="006111EE">
      <w:pPr>
        <w:pStyle w:val="1bodycopy"/>
        <w:rPr>
          <w:rFonts w:ascii="Century Gothic" w:hAnsi="Century Gothic"/>
          <w:szCs w:val="22"/>
        </w:rPr>
      </w:pPr>
      <w:r w:rsidRPr="00BC6A90">
        <w:rPr>
          <w:rFonts w:ascii="Century Gothic" w:hAnsi="Century Gothic"/>
          <w:szCs w:val="22"/>
        </w:rPr>
        <w:t xml:space="preserve">We maintain accurate records and details of all statutory tests which are undertaken at our premises. This includes relevant paperwork and certificates. </w:t>
      </w:r>
    </w:p>
    <w:p w14:paraId="35692588" w14:textId="77777777" w:rsidR="006111EE" w:rsidRPr="00BC6A90" w:rsidRDefault="006111EE" w:rsidP="006111EE">
      <w:pPr>
        <w:pStyle w:val="1bodycopy"/>
        <w:rPr>
          <w:rFonts w:ascii="Century Gothic" w:hAnsi="Century Gothic"/>
          <w:szCs w:val="22"/>
        </w:rPr>
      </w:pPr>
      <w:r w:rsidRPr="00BC6A90">
        <w:rPr>
          <w:rFonts w:ascii="Century Gothic" w:hAnsi="Century Gothic"/>
          <w:szCs w:val="22"/>
        </w:rPr>
        <w:t xml:space="preserve">All requirements and recommendations highlighted in inspection reports and certificates are reviewed and acted on as necessary. </w:t>
      </w:r>
    </w:p>
    <w:p w14:paraId="1DD1ADE5" w14:textId="77777777" w:rsidR="006111EE" w:rsidRPr="00BC6A90" w:rsidRDefault="006111EE" w:rsidP="006111EE">
      <w:pPr>
        <w:pStyle w:val="1bodycopy"/>
        <w:rPr>
          <w:rFonts w:ascii="Century Gothic" w:hAnsi="Century Gothic"/>
          <w:szCs w:val="22"/>
        </w:rPr>
      </w:pPr>
      <w:r w:rsidRPr="00BC6A90">
        <w:rPr>
          <w:rFonts w:ascii="Century Gothic" w:hAnsi="Century Gothic"/>
          <w:szCs w:val="22"/>
        </w:rPr>
        <w:t xml:space="preserve">As part of the records of completed works, we include the dates when the works were undertaken and the details of the individual or company who completed them, along with their qualifications/certifications and/or experience. </w:t>
      </w:r>
    </w:p>
    <w:p w14:paraId="1008FBB7" w14:textId="77777777" w:rsidR="006111EE" w:rsidRPr="00BC6A90" w:rsidRDefault="006111EE" w:rsidP="006111EE">
      <w:pPr>
        <w:pStyle w:val="1bodycopy"/>
        <w:rPr>
          <w:rFonts w:ascii="Century Gothic" w:hAnsi="Century Gothic"/>
          <w:szCs w:val="22"/>
        </w:rPr>
      </w:pPr>
      <w:r w:rsidRPr="00BC6A90">
        <w:rPr>
          <w:rFonts w:ascii="Century Gothic" w:hAnsi="Century Gothic"/>
          <w:szCs w:val="22"/>
        </w:rPr>
        <w:t xml:space="preserve">The table below sets out the issues we inspect, the inspection frequency, and the person responsible for checking each issue and, where appropriate, engaging a suitably qualified </w:t>
      </w:r>
      <w:r w:rsidRPr="00BC6A90">
        <w:rPr>
          <w:rFonts w:ascii="Century Gothic" w:hAnsi="Century Gothic"/>
          <w:szCs w:val="22"/>
        </w:rPr>
        <w:lastRenderedPageBreak/>
        <w:t xml:space="preserve">person to carry out inspection, testing or maintenance. It covers statutory checks as well as recommended good practice checks from relevant guidance. It is based on the </w:t>
      </w:r>
      <w:hyperlink r:id="rId19" w:history="1">
        <w:r w:rsidRPr="00BC6A90">
          <w:rPr>
            <w:rStyle w:val="Hyperlink"/>
            <w:rFonts w:ascii="Century Gothic" w:hAnsi="Century Gothic"/>
            <w:szCs w:val="22"/>
          </w:rPr>
          <w:t>checks and testing sections of the DfE estates guidance</w:t>
        </w:r>
      </w:hyperlink>
      <w:r w:rsidRPr="00BC6A90">
        <w:rPr>
          <w:rFonts w:ascii="Century Gothic" w:hAnsi="Century Gothic"/>
          <w:szCs w:val="22"/>
        </w:rPr>
        <w:t xml:space="preserve">. </w:t>
      </w:r>
    </w:p>
    <w:p w14:paraId="43AD66EF" w14:textId="77777777" w:rsidR="006111EE" w:rsidRPr="00BC6A90" w:rsidRDefault="006111EE" w:rsidP="006111EE">
      <w:pPr>
        <w:rPr>
          <w:rFonts w:ascii="Century Gothic" w:hAnsi="Century Gothic"/>
          <w:sz w:val="20"/>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46"/>
        <w:gridCol w:w="2864"/>
        <w:gridCol w:w="3498"/>
      </w:tblGrid>
      <w:tr w:rsidR="006111EE" w:rsidRPr="00BC6A90" w14:paraId="35C66DBE" w14:textId="77777777" w:rsidTr="004C0DDB">
        <w:trPr>
          <w:cantSplit/>
          <w:tblHeader/>
        </w:trPr>
        <w:tc>
          <w:tcPr>
            <w:tcW w:w="254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E52B54A" w14:textId="77777777" w:rsidR="006111EE" w:rsidRPr="00BC6A90" w:rsidRDefault="006111EE" w:rsidP="00143AFC">
            <w:pPr>
              <w:pStyle w:val="1bodycopy10pt"/>
              <w:spacing w:after="0"/>
              <w:rPr>
                <w:rFonts w:ascii="Century Gothic" w:hAnsi="Century Gothic"/>
                <w:caps/>
                <w:szCs w:val="22"/>
              </w:rPr>
            </w:pPr>
            <w:r w:rsidRPr="00BC6A90">
              <w:rPr>
                <w:rFonts w:ascii="Century Gothic" w:hAnsi="Century Gothic"/>
                <w:caps/>
                <w:szCs w:val="22"/>
              </w:rPr>
              <w:t>issue to inspect</w:t>
            </w:r>
          </w:p>
        </w:tc>
        <w:tc>
          <w:tcPr>
            <w:tcW w:w="286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601C93F" w14:textId="77777777" w:rsidR="006111EE" w:rsidRPr="00BC6A90" w:rsidRDefault="006111EE" w:rsidP="00143AFC">
            <w:pPr>
              <w:pStyle w:val="1bodycopy10pt"/>
              <w:spacing w:after="0"/>
              <w:rPr>
                <w:rFonts w:ascii="Century Gothic" w:hAnsi="Century Gothic"/>
                <w:caps/>
                <w:szCs w:val="22"/>
              </w:rPr>
            </w:pPr>
            <w:r w:rsidRPr="00BC6A90">
              <w:rPr>
                <w:rFonts w:ascii="Century Gothic" w:hAnsi="Century Gothic"/>
                <w:caps/>
                <w:szCs w:val="22"/>
              </w:rPr>
              <w:t>frequency</w:t>
            </w:r>
          </w:p>
        </w:tc>
        <w:tc>
          <w:tcPr>
            <w:tcW w:w="349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D926F59" w14:textId="77777777" w:rsidR="006111EE" w:rsidRPr="00BC6A90" w:rsidRDefault="006111EE" w:rsidP="00143AFC">
            <w:pPr>
              <w:pStyle w:val="1bodycopy10pt"/>
              <w:spacing w:after="0"/>
              <w:rPr>
                <w:rFonts w:ascii="Century Gothic" w:hAnsi="Century Gothic"/>
                <w:caps/>
                <w:szCs w:val="22"/>
              </w:rPr>
            </w:pPr>
            <w:r w:rsidRPr="00BC6A90">
              <w:rPr>
                <w:rFonts w:ascii="Century Gothic" w:hAnsi="Century Gothic"/>
                <w:caps/>
                <w:szCs w:val="22"/>
              </w:rPr>
              <w:t>person responsible</w:t>
            </w:r>
          </w:p>
        </w:tc>
      </w:tr>
      <w:tr w:rsidR="006111EE" w:rsidRPr="00BC6A90" w14:paraId="6B79CB3C" w14:textId="77777777" w:rsidTr="004C0DDB">
        <w:trPr>
          <w:cantSplit/>
        </w:trPr>
        <w:tc>
          <w:tcPr>
            <w:tcW w:w="2546" w:type="dxa"/>
          </w:tcPr>
          <w:p w14:paraId="186CE5A5"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Portable appliance testing (PAT)</w:t>
            </w:r>
          </w:p>
        </w:tc>
        <w:tc>
          <w:tcPr>
            <w:tcW w:w="2864" w:type="dxa"/>
          </w:tcPr>
          <w:p w14:paraId="24B2B9B1"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Variable, according to risk and how the equipment is constructed.</w:t>
            </w:r>
          </w:p>
          <w:p w14:paraId="778A9177"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Regular visual inspections where PAT is not required.</w:t>
            </w:r>
          </w:p>
          <w:p w14:paraId="19FB7E17"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We will refer to </w:t>
            </w:r>
            <w:hyperlink r:id="rId20" w:history="1">
              <w:r w:rsidRPr="00BC6A90">
                <w:rPr>
                  <w:rStyle w:val="Hyperlink"/>
                  <w:rFonts w:ascii="Century Gothic" w:hAnsi="Century Gothic"/>
                  <w:szCs w:val="22"/>
                </w:rPr>
                <w:t>HSE guidance</w:t>
              </w:r>
            </w:hyperlink>
            <w:r w:rsidRPr="00BC6A90">
              <w:rPr>
                <w:rFonts w:ascii="Century Gothic" w:hAnsi="Century Gothic"/>
                <w:szCs w:val="22"/>
              </w:rPr>
              <w:t xml:space="preserve"> on maintaining portable electric equipment for suggested intervals and types of testing/inspection.</w:t>
            </w:r>
          </w:p>
        </w:tc>
        <w:tc>
          <w:tcPr>
            <w:tcW w:w="3498" w:type="dxa"/>
          </w:tcPr>
          <w:p w14:paraId="6020F592"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External Contractor </w:t>
            </w:r>
          </w:p>
        </w:tc>
      </w:tr>
      <w:tr w:rsidR="006111EE" w:rsidRPr="00BC6A90" w14:paraId="142BC413" w14:textId="77777777" w:rsidTr="004C0DDB">
        <w:trPr>
          <w:cantSplit/>
        </w:trPr>
        <w:tc>
          <w:tcPr>
            <w:tcW w:w="2546" w:type="dxa"/>
          </w:tcPr>
          <w:p w14:paraId="3A76BDE6"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Fixed electrical installation tests (including lightning conductors)</w:t>
            </w:r>
          </w:p>
        </w:tc>
        <w:tc>
          <w:tcPr>
            <w:tcW w:w="2864" w:type="dxa"/>
          </w:tcPr>
          <w:p w14:paraId="785FF931"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Variable, according to the number and severity of faults found at last inspection.</w:t>
            </w:r>
          </w:p>
          <w:p w14:paraId="14E7C86F"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Inspection and testing always carried out by a competent person.</w:t>
            </w:r>
          </w:p>
        </w:tc>
        <w:tc>
          <w:tcPr>
            <w:tcW w:w="3498" w:type="dxa"/>
          </w:tcPr>
          <w:p w14:paraId="1B011914"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External contractor </w:t>
            </w:r>
          </w:p>
        </w:tc>
      </w:tr>
      <w:tr w:rsidR="006111EE" w:rsidRPr="00BC6A90" w14:paraId="5624997D" w14:textId="77777777" w:rsidTr="004C0DDB">
        <w:trPr>
          <w:cantSplit/>
        </w:trPr>
        <w:tc>
          <w:tcPr>
            <w:tcW w:w="2546" w:type="dxa"/>
          </w:tcPr>
          <w:p w14:paraId="6E0DBC08"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Emergency lighting</w:t>
            </w:r>
          </w:p>
        </w:tc>
        <w:tc>
          <w:tcPr>
            <w:tcW w:w="2864" w:type="dxa"/>
          </w:tcPr>
          <w:p w14:paraId="1FF3626A"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Monthly flash test.</w:t>
            </w:r>
          </w:p>
          <w:p w14:paraId="57133860"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6-monthly condition test (including 3-hour battery test) by a competent person.</w:t>
            </w:r>
          </w:p>
        </w:tc>
        <w:tc>
          <w:tcPr>
            <w:tcW w:w="3498" w:type="dxa"/>
          </w:tcPr>
          <w:p w14:paraId="59FCE3CF" w14:textId="77777777" w:rsidR="004C0DDB" w:rsidRDefault="006111EE" w:rsidP="00143AFC">
            <w:pPr>
              <w:pStyle w:val="Tablebodycopy"/>
              <w:rPr>
                <w:rFonts w:ascii="Century Gothic" w:hAnsi="Century Gothic"/>
                <w:szCs w:val="22"/>
              </w:rPr>
            </w:pPr>
            <w:r>
              <w:rPr>
                <w:rFonts w:ascii="Century Gothic" w:hAnsi="Century Gothic"/>
                <w:szCs w:val="22"/>
              </w:rPr>
              <w:t>Adam Dovey</w:t>
            </w:r>
            <w:r w:rsidRPr="00BC6A90">
              <w:rPr>
                <w:rFonts w:ascii="Century Gothic" w:hAnsi="Century Gothic"/>
                <w:szCs w:val="22"/>
              </w:rPr>
              <w:t xml:space="preserve"> </w:t>
            </w:r>
            <w:r w:rsidR="00064CBD">
              <w:rPr>
                <w:rFonts w:ascii="Century Gothic" w:hAnsi="Century Gothic"/>
                <w:szCs w:val="22"/>
              </w:rPr>
              <w:t>(Site Manager)</w:t>
            </w:r>
          </w:p>
          <w:p w14:paraId="176699BD" w14:textId="55BC55AA" w:rsidR="004C0DDB" w:rsidRPr="00BC6A90" w:rsidRDefault="004C0DDB" w:rsidP="00143AFC">
            <w:pPr>
              <w:pStyle w:val="Tablebodycopy"/>
              <w:rPr>
                <w:rFonts w:ascii="Century Gothic" w:hAnsi="Century Gothic"/>
                <w:szCs w:val="22"/>
              </w:rPr>
            </w:pPr>
            <w:r>
              <w:rPr>
                <w:rFonts w:ascii="Century Gothic" w:hAnsi="Century Gothic"/>
                <w:szCs w:val="22"/>
              </w:rPr>
              <w:t xml:space="preserve">and </w:t>
            </w:r>
            <w:r w:rsidRPr="00BC6A90">
              <w:rPr>
                <w:rFonts w:ascii="Century Gothic" w:hAnsi="Century Gothic"/>
                <w:szCs w:val="22"/>
              </w:rPr>
              <w:t>External contractor</w:t>
            </w:r>
          </w:p>
        </w:tc>
      </w:tr>
      <w:tr w:rsidR="006111EE" w:rsidRPr="00BC6A90" w14:paraId="2A73DF3D" w14:textId="77777777" w:rsidTr="004C0DDB">
        <w:trPr>
          <w:cantSplit/>
        </w:trPr>
        <w:tc>
          <w:tcPr>
            <w:tcW w:w="2546" w:type="dxa"/>
          </w:tcPr>
          <w:p w14:paraId="1B334836"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Gas appliances and fittings</w:t>
            </w:r>
          </w:p>
        </w:tc>
        <w:tc>
          <w:tcPr>
            <w:tcW w:w="2864" w:type="dxa"/>
          </w:tcPr>
          <w:p w14:paraId="1965EF0D"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Routinely, in accordance with manufacturer recommendations (or other professional advice if unavailable). </w:t>
            </w:r>
          </w:p>
          <w:p w14:paraId="7690785F"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Annual safety checks (in line with good practice / required if the premises are used for residential accommodation). </w:t>
            </w:r>
          </w:p>
          <w:p w14:paraId="1F66CCA0"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All work carried out by a Gas Safe Registered engineer.</w:t>
            </w:r>
          </w:p>
        </w:tc>
        <w:tc>
          <w:tcPr>
            <w:tcW w:w="3498" w:type="dxa"/>
          </w:tcPr>
          <w:p w14:paraId="45C4D032"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External contractor</w:t>
            </w:r>
          </w:p>
        </w:tc>
      </w:tr>
      <w:tr w:rsidR="006111EE" w:rsidRPr="00BC6A90" w14:paraId="7FF7F81B" w14:textId="77777777" w:rsidTr="004C0DDB">
        <w:trPr>
          <w:cantSplit/>
        </w:trPr>
        <w:tc>
          <w:tcPr>
            <w:tcW w:w="2546" w:type="dxa"/>
          </w:tcPr>
          <w:p w14:paraId="3A47EF2B"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lastRenderedPageBreak/>
              <w:t>Air conditioning systems</w:t>
            </w:r>
          </w:p>
        </w:tc>
        <w:tc>
          <w:tcPr>
            <w:tcW w:w="2864" w:type="dxa"/>
          </w:tcPr>
          <w:p w14:paraId="74AF0D73"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Inspections by an energy assessor at regular intervals (not exceeding 5 years). </w:t>
            </w:r>
          </w:p>
          <w:p w14:paraId="7AA3E3E5"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Annual certificated inspection to ensure no refrigerant leakage. </w:t>
            </w:r>
          </w:p>
          <w:p w14:paraId="7C6AB06A"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Bi-annual checks and an annual maintenance schedule (in line with good practice).</w:t>
            </w:r>
          </w:p>
        </w:tc>
        <w:tc>
          <w:tcPr>
            <w:tcW w:w="3498" w:type="dxa"/>
          </w:tcPr>
          <w:p w14:paraId="23FEC5D3"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External contractor</w:t>
            </w:r>
          </w:p>
        </w:tc>
      </w:tr>
      <w:tr w:rsidR="006111EE" w:rsidRPr="00BC6A90" w14:paraId="7F2F66BC" w14:textId="77777777" w:rsidTr="004C0DDB">
        <w:trPr>
          <w:cantSplit/>
        </w:trPr>
        <w:tc>
          <w:tcPr>
            <w:tcW w:w="2546" w:type="dxa"/>
          </w:tcPr>
          <w:p w14:paraId="66F61672"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Pressure systems</w:t>
            </w:r>
          </w:p>
        </w:tc>
        <w:tc>
          <w:tcPr>
            <w:tcW w:w="2864" w:type="dxa"/>
          </w:tcPr>
          <w:p w14:paraId="09C81053"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No fixed maintenance requirement (our </w:t>
            </w:r>
            <w:proofErr w:type="spellStart"/>
            <w:r w:rsidRPr="00BC6A90">
              <w:rPr>
                <w:rFonts w:ascii="Century Gothic" w:hAnsi="Century Gothic"/>
                <w:szCs w:val="22"/>
              </w:rPr>
              <w:t>programme</w:t>
            </w:r>
            <w:proofErr w:type="spellEnd"/>
            <w:r w:rsidRPr="00BC6A90">
              <w:rPr>
                <w:rFonts w:ascii="Century Gothic" w:hAnsi="Century Gothic"/>
                <w:szCs w:val="22"/>
              </w:rPr>
              <w:t xml:space="preserve"> takes account of the list on page 44 of the </w:t>
            </w:r>
            <w:hyperlink r:id="rId21" w:history="1">
              <w:r w:rsidRPr="00BC6A90">
                <w:rPr>
                  <w:rStyle w:val="Hyperlink"/>
                  <w:rFonts w:ascii="Century Gothic" w:hAnsi="Century Gothic"/>
                  <w:szCs w:val="22"/>
                </w:rPr>
                <w:t>HSE’s Safety of Pressure Systems guidance</w:t>
              </w:r>
            </w:hyperlink>
            <w:r w:rsidRPr="00BC6A90">
              <w:rPr>
                <w:rFonts w:ascii="Century Gothic" w:hAnsi="Century Gothic"/>
                <w:szCs w:val="22"/>
              </w:rPr>
              <w:t>, and an examination of the system is carried out by a competent person by the date set at the previous examination – see pages 35 to 37 of the HSE guidance).</w:t>
            </w:r>
          </w:p>
        </w:tc>
        <w:tc>
          <w:tcPr>
            <w:tcW w:w="3498" w:type="dxa"/>
          </w:tcPr>
          <w:p w14:paraId="5B26EBC2"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External contractor</w:t>
            </w:r>
          </w:p>
        </w:tc>
      </w:tr>
      <w:tr w:rsidR="006111EE" w:rsidRPr="00BC6A90" w14:paraId="21D24BE2" w14:textId="77777777" w:rsidTr="004C0DDB">
        <w:trPr>
          <w:cantSplit/>
        </w:trPr>
        <w:tc>
          <w:tcPr>
            <w:tcW w:w="2546" w:type="dxa"/>
          </w:tcPr>
          <w:p w14:paraId="588544C3"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Legionella checks on all water systems</w:t>
            </w:r>
          </w:p>
        </w:tc>
        <w:tc>
          <w:tcPr>
            <w:tcW w:w="2864" w:type="dxa"/>
          </w:tcPr>
          <w:p w14:paraId="0BABE075"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Risk assessment of each site carried out and reviewed regularly by a competent person. The frequency of monitoring checks varies for evaporative cooling systems, hot and cold water systems and other risk systems – specific details can be found in </w:t>
            </w:r>
            <w:hyperlink r:id="rId22" w:history="1">
              <w:r w:rsidRPr="00BC6A90">
                <w:rPr>
                  <w:rStyle w:val="Hyperlink"/>
                  <w:rFonts w:ascii="Century Gothic" w:hAnsi="Century Gothic"/>
                  <w:szCs w:val="22"/>
                </w:rPr>
                <w:t>guidance for each type from the HSE</w:t>
              </w:r>
            </w:hyperlink>
            <w:r w:rsidRPr="00BC6A90">
              <w:rPr>
                <w:rFonts w:ascii="Century Gothic" w:hAnsi="Century Gothic"/>
                <w:szCs w:val="22"/>
              </w:rPr>
              <w:t>.</w:t>
            </w:r>
          </w:p>
        </w:tc>
        <w:tc>
          <w:tcPr>
            <w:tcW w:w="3498" w:type="dxa"/>
          </w:tcPr>
          <w:p w14:paraId="5BCEA665"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External contractor / </w:t>
            </w:r>
            <w:r>
              <w:rPr>
                <w:rFonts w:ascii="Century Gothic" w:hAnsi="Century Gothic"/>
                <w:szCs w:val="22"/>
              </w:rPr>
              <w:t>Adam Dovey</w:t>
            </w:r>
          </w:p>
        </w:tc>
      </w:tr>
      <w:tr w:rsidR="006111EE" w:rsidRPr="00BC6A90" w14:paraId="1608524F" w14:textId="77777777" w:rsidTr="004C0DDB">
        <w:trPr>
          <w:cantSplit/>
        </w:trPr>
        <w:tc>
          <w:tcPr>
            <w:tcW w:w="2546" w:type="dxa"/>
          </w:tcPr>
          <w:p w14:paraId="1BB5D2C1"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Asbestos</w:t>
            </w:r>
          </w:p>
        </w:tc>
        <w:tc>
          <w:tcPr>
            <w:tcW w:w="2864" w:type="dxa"/>
          </w:tcPr>
          <w:p w14:paraId="2962EBB0"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Regular inspections as part of the asbestos register and management plan. </w:t>
            </w:r>
          </w:p>
          <w:p w14:paraId="52F893E8"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Reviews of the asbestos register annually. </w:t>
            </w:r>
          </w:p>
          <w:p w14:paraId="254F045F"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Refurbishment and demolition surveys before any refurbishment or demolition work. </w:t>
            </w:r>
          </w:p>
        </w:tc>
        <w:tc>
          <w:tcPr>
            <w:tcW w:w="3498" w:type="dxa"/>
          </w:tcPr>
          <w:p w14:paraId="6367893A"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External contractor / </w:t>
            </w:r>
            <w:r>
              <w:rPr>
                <w:rFonts w:ascii="Century Gothic" w:hAnsi="Century Gothic"/>
                <w:szCs w:val="22"/>
              </w:rPr>
              <w:t>Adam Dovey</w:t>
            </w:r>
          </w:p>
        </w:tc>
      </w:tr>
      <w:tr w:rsidR="006111EE" w:rsidRPr="00BC6A90" w14:paraId="63E368CA" w14:textId="77777777" w:rsidTr="004C0DDB">
        <w:trPr>
          <w:cantSplit/>
        </w:trPr>
        <w:tc>
          <w:tcPr>
            <w:tcW w:w="2546" w:type="dxa"/>
          </w:tcPr>
          <w:p w14:paraId="584A6B2D"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lastRenderedPageBreak/>
              <w:t>Equipment used for working at height</w:t>
            </w:r>
          </w:p>
        </w:tc>
        <w:tc>
          <w:tcPr>
            <w:tcW w:w="2864" w:type="dxa"/>
          </w:tcPr>
          <w:p w14:paraId="39FE8C51"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Inspected before use, and at suitable intervals appropriate to the environment it’s used in and how it’s used. </w:t>
            </w:r>
          </w:p>
          <w:p w14:paraId="7559D9A3"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In addition, inspections after anything that may affect the safety or stability of equipment, e.g. adverse weather or accidental damage.</w:t>
            </w:r>
          </w:p>
        </w:tc>
        <w:tc>
          <w:tcPr>
            <w:tcW w:w="3498" w:type="dxa"/>
          </w:tcPr>
          <w:p w14:paraId="12FF36BB" w14:textId="77777777" w:rsidR="006111EE" w:rsidRPr="00BC6A90" w:rsidRDefault="006111EE" w:rsidP="00143AFC">
            <w:pPr>
              <w:pStyle w:val="Tablebodycopy"/>
              <w:rPr>
                <w:rFonts w:ascii="Century Gothic" w:hAnsi="Century Gothic"/>
                <w:szCs w:val="22"/>
              </w:rPr>
            </w:pPr>
            <w:r>
              <w:rPr>
                <w:rFonts w:ascii="Century Gothic" w:hAnsi="Century Gothic"/>
                <w:szCs w:val="22"/>
              </w:rPr>
              <w:t>Adam Dovey</w:t>
            </w:r>
          </w:p>
        </w:tc>
      </w:tr>
      <w:tr w:rsidR="006111EE" w:rsidRPr="00BC6A90" w14:paraId="44670555" w14:textId="77777777" w:rsidTr="004C0DDB">
        <w:trPr>
          <w:cantSplit/>
        </w:trPr>
        <w:tc>
          <w:tcPr>
            <w:tcW w:w="2546" w:type="dxa"/>
          </w:tcPr>
          <w:p w14:paraId="26380AD1"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Fire detection and alarm systems</w:t>
            </w:r>
          </w:p>
        </w:tc>
        <w:tc>
          <w:tcPr>
            <w:tcW w:w="2864" w:type="dxa"/>
          </w:tcPr>
          <w:p w14:paraId="4F03A9F3"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Weekly alarm tests, with a different call point tested each week where applicable. </w:t>
            </w:r>
          </w:p>
          <w:p w14:paraId="5A9BA7B1"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Quarterly and annual inspections and tests by a competent person.</w:t>
            </w:r>
          </w:p>
          <w:p w14:paraId="207D1808"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Annual fire risk assessment by a competent person also includes the maintenance of fire detection and alarm systems.</w:t>
            </w:r>
          </w:p>
        </w:tc>
        <w:tc>
          <w:tcPr>
            <w:tcW w:w="3498" w:type="dxa"/>
          </w:tcPr>
          <w:p w14:paraId="7A0F9F81" w14:textId="77777777" w:rsidR="006111EE" w:rsidRPr="00BC6A90" w:rsidRDefault="006111EE" w:rsidP="00143AFC">
            <w:pPr>
              <w:pStyle w:val="Tablebodycopy"/>
              <w:rPr>
                <w:rFonts w:ascii="Century Gothic" w:hAnsi="Century Gothic"/>
                <w:szCs w:val="22"/>
              </w:rPr>
            </w:pPr>
            <w:r>
              <w:rPr>
                <w:rFonts w:ascii="Century Gothic" w:hAnsi="Century Gothic"/>
                <w:szCs w:val="22"/>
              </w:rPr>
              <w:t>Adam Dovey</w:t>
            </w:r>
            <w:r w:rsidRPr="00BC6A90">
              <w:rPr>
                <w:rFonts w:ascii="Century Gothic" w:hAnsi="Century Gothic"/>
                <w:szCs w:val="22"/>
              </w:rPr>
              <w:t xml:space="preserve"> / External contractor</w:t>
            </w:r>
          </w:p>
        </w:tc>
      </w:tr>
      <w:tr w:rsidR="006111EE" w:rsidRPr="00BC6A90" w14:paraId="2007C988" w14:textId="77777777" w:rsidTr="004C0DDB">
        <w:trPr>
          <w:cantSplit/>
        </w:trPr>
        <w:tc>
          <w:tcPr>
            <w:tcW w:w="2546" w:type="dxa"/>
          </w:tcPr>
          <w:p w14:paraId="3F447641"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Fire doors</w:t>
            </w:r>
          </w:p>
        </w:tc>
        <w:tc>
          <w:tcPr>
            <w:tcW w:w="2864" w:type="dxa"/>
          </w:tcPr>
          <w:p w14:paraId="4079766D"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Regular checks by a competent person.</w:t>
            </w:r>
          </w:p>
        </w:tc>
        <w:tc>
          <w:tcPr>
            <w:tcW w:w="3498" w:type="dxa"/>
          </w:tcPr>
          <w:p w14:paraId="0EC11322" w14:textId="77777777" w:rsidR="006111EE" w:rsidRPr="00BC6A90" w:rsidRDefault="006111EE" w:rsidP="00143AFC">
            <w:pPr>
              <w:pStyle w:val="Tablebodycopy"/>
              <w:rPr>
                <w:rFonts w:ascii="Century Gothic" w:hAnsi="Century Gothic"/>
                <w:szCs w:val="22"/>
              </w:rPr>
            </w:pPr>
            <w:r>
              <w:rPr>
                <w:rFonts w:ascii="Century Gothic" w:hAnsi="Century Gothic"/>
                <w:szCs w:val="22"/>
              </w:rPr>
              <w:t>Adam Dovey</w:t>
            </w:r>
            <w:r w:rsidRPr="00BC6A90">
              <w:rPr>
                <w:rFonts w:ascii="Century Gothic" w:hAnsi="Century Gothic"/>
                <w:szCs w:val="22"/>
              </w:rPr>
              <w:t xml:space="preserve"> </w:t>
            </w:r>
          </w:p>
        </w:tc>
      </w:tr>
      <w:tr w:rsidR="006111EE" w:rsidRPr="00BC6A90" w14:paraId="5C6F8295" w14:textId="77777777" w:rsidTr="004C0DDB">
        <w:trPr>
          <w:cantSplit/>
        </w:trPr>
        <w:tc>
          <w:tcPr>
            <w:tcW w:w="2546" w:type="dxa"/>
          </w:tcPr>
          <w:p w14:paraId="65CB3980"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Firefighting equipment</w:t>
            </w:r>
          </w:p>
        </w:tc>
        <w:tc>
          <w:tcPr>
            <w:tcW w:w="2864" w:type="dxa"/>
          </w:tcPr>
          <w:p w14:paraId="4069CE33"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Most equipment – extinguishers, fire blankets, hose reels, fixed systems (such as sprinkler systems) and fire service facilities (such as dry risers and access for emergency vehicles) – inspected annually (by a competent person where required) unless manufacturers’ guidelines suggest differently.</w:t>
            </w:r>
          </w:p>
        </w:tc>
        <w:tc>
          <w:tcPr>
            <w:tcW w:w="3498" w:type="dxa"/>
          </w:tcPr>
          <w:p w14:paraId="3618472E"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External contractor</w:t>
            </w:r>
          </w:p>
        </w:tc>
      </w:tr>
      <w:tr w:rsidR="006111EE" w:rsidRPr="00BC6A90" w14:paraId="6E3138A6" w14:textId="77777777" w:rsidTr="004C0DDB">
        <w:trPr>
          <w:cantSplit/>
        </w:trPr>
        <w:tc>
          <w:tcPr>
            <w:tcW w:w="2546" w:type="dxa"/>
          </w:tcPr>
          <w:p w14:paraId="3CF163EC"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lastRenderedPageBreak/>
              <w:t>Extraction systems</w:t>
            </w:r>
          </w:p>
        </w:tc>
        <w:tc>
          <w:tcPr>
            <w:tcW w:w="2864" w:type="dxa"/>
          </w:tcPr>
          <w:p w14:paraId="13932DC1"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Regular removal and cleaning of grease filters and cleaning of ductwork for kitchen extraction systems.</w:t>
            </w:r>
          </w:p>
          <w:p w14:paraId="104EF080"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Local exhaust ventilation systems (such as those for working with hazardous substances) examined and tested at least every 14 months by a competent person.</w:t>
            </w:r>
          </w:p>
          <w:p w14:paraId="3F6D187F"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More routine checks also set out in system logbooks. </w:t>
            </w:r>
          </w:p>
        </w:tc>
        <w:tc>
          <w:tcPr>
            <w:tcW w:w="3498" w:type="dxa"/>
          </w:tcPr>
          <w:p w14:paraId="57518A3D"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External contractor</w:t>
            </w:r>
          </w:p>
        </w:tc>
      </w:tr>
      <w:tr w:rsidR="006111EE" w:rsidRPr="00BC6A90" w14:paraId="6FFAD8E6" w14:textId="77777777" w:rsidTr="004C0DDB">
        <w:trPr>
          <w:cantSplit/>
        </w:trPr>
        <w:tc>
          <w:tcPr>
            <w:tcW w:w="2546" w:type="dxa"/>
          </w:tcPr>
          <w:p w14:paraId="7157271F"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Chemical storage</w:t>
            </w:r>
          </w:p>
          <w:p w14:paraId="3784C2FA" w14:textId="77777777" w:rsidR="006111EE" w:rsidRPr="00BC6A90" w:rsidRDefault="006111EE" w:rsidP="00143AFC">
            <w:pPr>
              <w:pStyle w:val="Tablebodycopy"/>
              <w:rPr>
                <w:rFonts w:ascii="Century Gothic" w:hAnsi="Century Gothic"/>
                <w:szCs w:val="22"/>
              </w:rPr>
            </w:pPr>
          </w:p>
          <w:p w14:paraId="7B38CE41" w14:textId="77777777" w:rsidR="006111EE" w:rsidRPr="00BC6A90" w:rsidRDefault="006111EE" w:rsidP="00143AFC">
            <w:pPr>
              <w:pStyle w:val="Tablebodycopy"/>
              <w:rPr>
                <w:rFonts w:ascii="Century Gothic" w:hAnsi="Century Gothic"/>
                <w:szCs w:val="22"/>
              </w:rPr>
            </w:pPr>
          </w:p>
          <w:p w14:paraId="4D4D80DC" w14:textId="77777777" w:rsidR="006111EE" w:rsidRPr="00BC6A90" w:rsidRDefault="006111EE" w:rsidP="00143AFC">
            <w:pPr>
              <w:pStyle w:val="Tablebodycopy"/>
              <w:rPr>
                <w:rFonts w:ascii="Century Gothic" w:hAnsi="Century Gothic"/>
                <w:szCs w:val="22"/>
              </w:rPr>
            </w:pPr>
          </w:p>
          <w:p w14:paraId="31554B78" w14:textId="77777777" w:rsidR="006111EE" w:rsidRPr="00BC6A90" w:rsidRDefault="006111EE" w:rsidP="00143AFC">
            <w:pPr>
              <w:pStyle w:val="Tablebodycopy"/>
              <w:rPr>
                <w:rFonts w:ascii="Century Gothic" w:hAnsi="Century Gothic"/>
                <w:szCs w:val="22"/>
              </w:rPr>
            </w:pPr>
          </w:p>
        </w:tc>
        <w:tc>
          <w:tcPr>
            <w:tcW w:w="2864" w:type="dxa"/>
          </w:tcPr>
          <w:p w14:paraId="303D0260"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Inventories are kept up-to-date. </w:t>
            </w:r>
          </w:p>
          <w:p w14:paraId="2F90F72A"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Risk assessments for the Control of Substances Hazardous to Health (COSHH) are reviewed on a regular basis, plus whenever it’s considered that the original assessment may no longer be valid, or where the circumstances of the work change significantly and may affect employees’ exposure to a hazardous substance (in line with </w:t>
            </w:r>
            <w:hyperlink r:id="rId23" w:history="1">
              <w:r w:rsidRPr="00BC6A90">
                <w:rPr>
                  <w:rStyle w:val="Hyperlink"/>
                  <w:rFonts w:ascii="Century Gothic" w:hAnsi="Century Gothic"/>
                  <w:szCs w:val="22"/>
                </w:rPr>
                <w:t>HSE guidance on COSHH assessment</w:t>
              </w:r>
            </w:hyperlink>
            <w:r w:rsidRPr="00BC6A90">
              <w:rPr>
                <w:rFonts w:ascii="Century Gothic" w:hAnsi="Century Gothic"/>
                <w:szCs w:val="22"/>
              </w:rPr>
              <w:t>).</w:t>
            </w:r>
          </w:p>
        </w:tc>
        <w:tc>
          <w:tcPr>
            <w:tcW w:w="3498" w:type="dxa"/>
          </w:tcPr>
          <w:p w14:paraId="6766DB60" w14:textId="77777777" w:rsidR="006111EE" w:rsidRPr="00BC6A90" w:rsidRDefault="006111EE" w:rsidP="00143AFC">
            <w:pPr>
              <w:pStyle w:val="Tablebodycopy"/>
              <w:rPr>
                <w:rFonts w:ascii="Century Gothic" w:hAnsi="Century Gothic"/>
                <w:szCs w:val="22"/>
              </w:rPr>
            </w:pPr>
            <w:r>
              <w:rPr>
                <w:rFonts w:ascii="Century Gothic" w:hAnsi="Century Gothic"/>
                <w:szCs w:val="22"/>
              </w:rPr>
              <w:t>Adam Dovey</w:t>
            </w:r>
            <w:r w:rsidRPr="00BC6A90">
              <w:rPr>
                <w:rFonts w:ascii="Century Gothic" w:hAnsi="Century Gothic"/>
                <w:szCs w:val="22"/>
              </w:rPr>
              <w:t>/ Business Manger</w:t>
            </w:r>
          </w:p>
        </w:tc>
      </w:tr>
      <w:tr w:rsidR="006111EE" w:rsidRPr="00BC6A90" w14:paraId="706D915C" w14:textId="77777777" w:rsidTr="004C0DDB">
        <w:trPr>
          <w:cantSplit/>
        </w:trPr>
        <w:tc>
          <w:tcPr>
            <w:tcW w:w="2546" w:type="dxa"/>
          </w:tcPr>
          <w:p w14:paraId="055FE665"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Playground and gymnasium equipment</w:t>
            </w:r>
          </w:p>
        </w:tc>
        <w:tc>
          <w:tcPr>
            <w:tcW w:w="2864" w:type="dxa"/>
          </w:tcPr>
          <w:p w14:paraId="4B166777"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Regular inspections – at least annually, and more regularly where any equipment is used more frequently than normal (e.g. where community use increases how often equipment is used). </w:t>
            </w:r>
          </w:p>
          <w:p w14:paraId="358C119B"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Outdoor fixed play equipment – periodic and annual inspections by a competent person. </w:t>
            </w:r>
          </w:p>
        </w:tc>
        <w:tc>
          <w:tcPr>
            <w:tcW w:w="3498" w:type="dxa"/>
          </w:tcPr>
          <w:p w14:paraId="598C24D3"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 xml:space="preserve">ROSPA/ </w:t>
            </w:r>
            <w:r>
              <w:rPr>
                <w:rFonts w:ascii="Century Gothic" w:hAnsi="Century Gothic"/>
                <w:szCs w:val="22"/>
              </w:rPr>
              <w:t>Adam Dovey</w:t>
            </w:r>
            <w:r w:rsidRPr="00BC6A90">
              <w:rPr>
                <w:rFonts w:ascii="Century Gothic" w:hAnsi="Century Gothic"/>
                <w:szCs w:val="22"/>
              </w:rPr>
              <w:t xml:space="preserve"> </w:t>
            </w:r>
          </w:p>
        </w:tc>
      </w:tr>
      <w:tr w:rsidR="006111EE" w:rsidRPr="00BC6A90" w14:paraId="3927CC71" w14:textId="77777777" w:rsidTr="004C0DDB">
        <w:trPr>
          <w:cantSplit/>
        </w:trPr>
        <w:tc>
          <w:tcPr>
            <w:tcW w:w="2546" w:type="dxa"/>
          </w:tcPr>
          <w:p w14:paraId="366E670A"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Tree safety</w:t>
            </w:r>
          </w:p>
        </w:tc>
        <w:tc>
          <w:tcPr>
            <w:tcW w:w="2864" w:type="dxa"/>
          </w:tcPr>
          <w:p w14:paraId="4473C4C6" w14:textId="77777777" w:rsidR="006111EE" w:rsidRPr="00BC6A90" w:rsidRDefault="006111EE" w:rsidP="00143AFC">
            <w:pPr>
              <w:pStyle w:val="Tablebodycopy"/>
              <w:rPr>
                <w:rFonts w:ascii="Century Gothic" w:hAnsi="Century Gothic"/>
                <w:szCs w:val="22"/>
              </w:rPr>
            </w:pPr>
            <w:r w:rsidRPr="00BC6A90">
              <w:rPr>
                <w:rFonts w:ascii="Century Gothic" w:hAnsi="Century Gothic"/>
                <w:szCs w:val="22"/>
              </w:rPr>
              <w:t>As part of risk assessment responsibilities, periodic visual checks for stability are carried out, with more detailed assessments if suspected structural faults or other risks are found.</w:t>
            </w:r>
          </w:p>
        </w:tc>
        <w:tc>
          <w:tcPr>
            <w:tcW w:w="3498" w:type="dxa"/>
          </w:tcPr>
          <w:p w14:paraId="2850A71D" w14:textId="77777777" w:rsidR="006111EE" w:rsidRPr="00BC6A90" w:rsidRDefault="006111EE" w:rsidP="00143AFC">
            <w:pPr>
              <w:pStyle w:val="Tablebodycopy"/>
              <w:rPr>
                <w:rFonts w:ascii="Century Gothic" w:hAnsi="Century Gothic"/>
                <w:szCs w:val="22"/>
              </w:rPr>
            </w:pPr>
            <w:r>
              <w:rPr>
                <w:rFonts w:ascii="Century Gothic" w:hAnsi="Century Gothic"/>
                <w:szCs w:val="22"/>
              </w:rPr>
              <w:t>Adam Dovey</w:t>
            </w:r>
          </w:p>
        </w:tc>
      </w:tr>
    </w:tbl>
    <w:p w14:paraId="46DADAC6" w14:textId="77777777" w:rsidR="006111EE" w:rsidRPr="00BC6A90" w:rsidRDefault="006111EE" w:rsidP="006111EE">
      <w:pPr>
        <w:rPr>
          <w:rFonts w:ascii="Century Gothic" w:hAnsi="Century Gothic"/>
          <w:sz w:val="20"/>
        </w:rPr>
      </w:pPr>
    </w:p>
    <w:p w14:paraId="5507C1F5" w14:textId="77777777" w:rsidR="006111EE" w:rsidRPr="00BC6A90" w:rsidRDefault="006111EE" w:rsidP="006111EE">
      <w:pPr>
        <w:pStyle w:val="Heading1"/>
        <w:rPr>
          <w:rFonts w:ascii="Century Gothic" w:hAnsi="Century Gothic"/>
          <w:sz w:val="20"/>
          <w:szCs w:val="22"/>
        </w:rPr>
      </w:pPr>
      <w:bookmarkStart w:id="10" w:name="_Toc497386609"/>
      <w:bookmarkStart w:id="11" w:name="_Toc11855316"/>
      <w:bookmarkStart w:id="12" w:name="_Toc22223433"/>
      <w:r w:rsidRPr="00BC6A90">
        <w:rPr>
          <w:rFonts w:ascii="Century Gothic" w:hAnsi="Century Gothic"/>
          <w:sz w:val="20"/>
          <w:szCs w:val="22"/>
        </w:rPr>
        <w:t>5. Risk assessments and other checks</w:t>
      </w:r>
      <w:bookmarkEnd w:id="10"/>
      <w:bookmarkEnd w:id="11"/>
      <w:bookmarkEnd w:id="12"/>
    </w:p>
    <w:p w14:paraId="25A8C0A7" w14:textId="77777777" w:rsidR="006111EE" w:rsidRPr="00BC6A90" w:rsidRDefault="006111EE" w:rsidP="006111EE">
      <w:pPr>
        <w:pStyle w:val="1bodycopy"/>
        <w:rPr>
          <w:rFonts w:ascii="Century Gothic" w:hAnsi="Century Gothic"/>
          <w:szCs w:val="22"/>
        </w:rPr>
      </w:pPr>
      <w:r w:rsidRPr="00BC6A90">
        <w:rPr>
          <w:rFonts w:ascii="Century Gothic" w:hAnsi="Century Gothic"/>
          <w:szCs w:val="22"/>
        </w:rPr>
        <w:t>Please refer to our risk assessment policy for information about the school’s approach to risk assessment.</w:t>
      </w:r>
    </w:p>
    <w:p w14:paraId="55F388AE" w14:textId="77777777" w:rsidR="006111EE" w:rsidRPr="00BC6A90" w:rsidRDefault="006111EE" w:rsidP="006111EE">
      <w:pPr>
        <w:pStyle w:val="1bodycopy"/>
        <w:rPr>
          <w:rFonts w:ascii="Century Gothic" w:hAnsi="Century Gothic"/>
          <w:szCs w:val="22"/>
        </w:rPr>
      </w:pPr>
      <w:r w:rsidRPr="00BC6A90">
        <w:rPr>
          <w:rFonts w:ascii="Century Gothic" w:hAnsi="Century Gothic"/>
          <w:szCs w:val="22"/>
        </w:rPr>
        <w:t>In addition to the risk assessments, we are required to have in place (please refer to our risk assessment policy and health and safety policy for more information</w:t>
      </w:r>
      <w:r w:rsidRPr="00BC6A90">
        <w:rPr>
          <w:rStyle w:val="1bodycopyChar"/>
          <w:rFonts w:ascii="Century Gothic" w:hAnsi="Century Gothic"/>
          <w:szCs w:val="22"/>
        </w:rPr>
        <w:t>*</w:t>
      </w:r>
      <w:r w:rsidRPr="00BC6A90">
        <w:rPr>
          <w:rFonts w:ascii="Century Gothic" w:hAnsi="Century Gothic"/>
          <w:szCs w:val="22"/>
        </w:rPr>
        <w:t xml:space="preserve">), we ensure we have risk assessments in place, regularly updated, to cover a range of activities. </w:t>
      </w:r>
    </w:p>
    <w:p w14:paraId="7ACF5605" w14:textId="77777777" w:rsidR="006111EE" w:rsidRPr="00BC6A90" w:rsidRDefault="006111EE" w:rsidP="006111EE">
      <w:pPr>
        <w:pStyle w:val="1bodycopy"/>
        <w:rPr>
          <w:rFonts w:ascii="Century Gothic" w:hAnsi="Century Gothic"/>
          <w:szCs w:val="22"/>
        </w:rPr>
      </w:pPr>
    </w:p>
    <w:p w14:paraId="7F2403B6" w14:textId="77777777" w:rsidR="006111EE" w:rsidRPr="00BC6A90" w:rsidRDefault="006111EE" w:rsidP="006111EE">
      <w:pPr>
        <w:pStyle w:val="1bodycopy"/>
        <w:rPr>
          <w:rFonts w:ascii="Century Gothic" w:hAnsi="Century Gothic"/>
          <w:szCs w:val="22"/>
        </w:rPr>
      </w:pPr>
      <w:r w:rsidRPr="00BC6A90">
        <w:rPr>
          <w:rFonts w:ascii="Century Gothic" w:hAnsi="Century Gothic"/>
          <w:szCs w:val="22"/>
        </w:rPr>
        <w:t>We also make sure further checks are made to confirm the following:</w:t>
      </w:r>
    </w:p>
    <w:p w14:paraId="23AF4DBD"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 xml:space="preserve">Correct and up-to-date information is displayed in all notices </w:t>
      </w:r>
    </w:p>
    <w:p w14:paraId="1745FF70"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Compliance with the Construction (Design and Management) Regulations 2015 during construction projects</w:t>
      </w:r>
    </w:p>
    <w:p w14:paraId="736532DE"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 xml:space="preserve">Contractors have the necessary qualifications to carry out the specified work </w:t>
      </w:r>
    </w:p>
    <w:p w14:paraId="0C5D5DEC" w14:textId="77777777" w:rsidR="006111EE" w:rsidRPr="00BC6A90" w:rsidRDefault="006111EE" w:rsidP="006111EE">
      <w:pPr>
        <w:pStyle w:val="4Bulletedcopyblue"/>
        <w:rPr>
          <w:rFonts w:ascii="Century Gothic" w:hAnsi="Century Gothic"/>
          <w:szCs w:val="22"/>
        </w:rPr>
      </w:pPr>
      <w:r w:rsidRPr="00BC6A90">
        <w:rPr>
          <w:rFonts w:ascii="Century Gothic" w:hAnsi="Century Gothic"/>
          <w:szCs w:val="22"/>
        </w:rPr>
        <w:t>Compliance with the Equality Act 2010 when making changes or alterations to a building or the external environment</w:t>
      </w:r>
    </w:p>
    <w:p w14:paraId="74E8D02B" w14:textId="77777777" w:rsidR="006111EE" w:rsidRPr="00BC6A90" w:rsidRDefault="006111EE" w:rsidP="006111EE">
      <w:pPr>
        <w:pStyle w:val="Heading1"/>
        <w:rPr>
          <w:rFonts w:ascii="Century Gothic" w:hAnsi="Century Gothic"/>
          <w:sz w:val="20"/>
          <w:szCs w:val="22"/>
        </w:rPr>
      </w:pPr>
      <w:bookmarkStart w:id="13" w:name="_Toc497386610"/>
      <w:bookmarkStart w:id="14" w:name="_Toc11855317"/>
      <w:bookmarkStart w:id="15" w:name="_Toc22223434"/>
    </w:p>
    <w:p w14:paraId="2286EC9F" w14:textId="77777777" w:rsidR="006111EE" w:rsidRPr="00BC6A90" w:rsidRDefault="006111EE" w:rsidP="006111EE">
      <w:pPr>
        <w:pStyle w:val="Heading1"/>
        <w:rPr>
          <w:rFonts w:ascii="Century Gothic" w:hAnsi="Century Gothic"/>
          <w:sz w:val="20"/>
          <w:szCs w:val="22"/>
        </w:rPr>
      </w:pPr>
      <w:r w:rsidRPr="00BC6A90">
        <w:rPr>
          <w:rFonts w:ascii="Century Gothic" w:hAnsi="Century Gothic"/>
          <w:sz w:val="20"/>
          <w:szCs w:val="22"/>
        </w:rPr>
        <w:t>6. Monitoring arrangements</w:t>
      </w:r>
      <w:bookmarkEnd w:id="13"/>
      <w:bookmarkEnd w:id="14"/>
      <w:bookmarkEnd w:id="15"/>
    </w:p>
    <w:p w14:paraId="7FF89AAD" w14:textId="3005B443" w:rsidR="00756CF7" w:rsidRPr="00BC6A90" w:rsidRDefault="006111EE" w:rsidP="006111EE">
      <w:pPr>
        <w:pStyle w:val="1bodycopy"/>
        <w:rPr>
          <w:rFonts w:ascii="Century Gothic" w:hAnsi="Century Gothic"/>
          <w:szCs w:val="22"/>
        </w:rPr>
      </w:pPr>
      <w:r w:rsidRPr="00BC6A90">
        <w:rPr>
          <w:rFonts w:ascii="Century Gothic" w:hAnsi="Century Gothic"/>
          <w:szCs w:val="22"/>
        </w:rPr>
        <w:t xml:space="preserve">The application of this policy is monitored by the </w:t>
      </w:r>
      <w:r w:rsidR="005A6D25">
        <w:rPr>
          <w:rFonts w:ascii="Century Gothic" w:hAnsi="Century Gothic"/>
          <w:szCs w:val="22"/>
        </w:rPr>
        <w:t>b</w:t>
      </w:r>
      <w:r w:rsidRPr="00BC6A90">
        <w:rPr>
          <w:rFonts w:ascii="Century Gothic" w:hAnsi="Century Gothic"/>
          <w:szCs w:val="22"/>
        </w:rPr>
        <w:t xml:space="preserve">usiness manager and </w:t>
      </w:r>
      <w:r w:rsidR="005A6D25">
        <w:rPr>
          <w:rFonts w:ascii="Century Gothic" w:hAnsi="Century Gothic"/>
          <w:szCs w:val="22"/>
        </w:rPr>
        <w:t>site manager</w:t>
      </w:r>
      <w:r w:rsidRPr="00BC6A90">
        <w:rPr>
          <w:rFonts w:ascii="Century Gothic" w:hAnsi="Century Gothic"/>
          <w:szCs w:val="22"/>
        </w:rPr>
        <w:t xml:space="preserve"> through, among other things, visual checks of the school site and equipment, and checks of risk assessments. </w:t>
      </w:r>
    </w:p>
    <w:p w14:paraId="7BAFBC70" w14:textId="68D4A496" w:rsidR="00756CF7" w:rsidRPr="00BC6A90" w:rsidRDefault="006111EE" w:rsidP="006111EE">
      <w:pPr>
        <w:pStyle w:val="1bodycopy"/>
        <w:rPr>
          <w:rFonts w:ascii="Century Gothic" w:hAnsi="Century Gothic"/>
          <w:szCs w:val="22"/>
        </w:rPr>
      </w:pPr>
      <w:r w:rsidRPr="00BC6A90">
        <w:rPr>
          <w:rFonts w:ascii="Century Gothic" w:hAnsi="Century Gothic"/>
          <w:szCs w:val="22"/>
        </w:rPr>
        <w:t xml:space="preserve">Copies of risk assessments and paperwork relating to any checks are kept in the school office. </w:t>
      </w:r>
    </w:p>
    <w:p w14:paraId="4F25E956" w14:textId="0DF3ABE9" w:rsidR="006111EE" w:rsidRPr="00BC6A90" w:rsidRDefault="006111EE" w:rsidP="00756CF7">
      <w:pPr>
        <w:pStyle w:val="1bodycopy"/>
        <w:rPr>
          <w:rFonts w:ascii="Century Gothic" w:hAnsi="Century Gothic"/>
          <w:szCs w:val="22"/>
        </w:rPr>
      </w:pPr>
      <w:r w:rsidRPr="00BC6A90">
        <w:rPr>
          <w:rFonts w:ascii="Century Gothic" w:hAnsi="Century Gothic"/>
          <w:szCs w:val="22"/>
        </w:rPr>
        <w:t xml:space="preserve">This policy will be reviewed by the Business Manager annually. </w:t>
      </w:r>
    </w:p>
    <w:p w14:paraId="7C757629" w14:textId="77777777" w:rsidR="006111EE" w:rsidRPr="00BC6A90" w:rsidRDefault="006111EE" w:rsidP="006111EE">
      <w:pPr>
        <w:rPr>
          <w:rFonts w:ascii="Century Gothic" w:hAnsi="Century Gothic"/>
          <w:sz w:val="20"/>
        </w:rPr>
      </w:pPr>
    </w:p>
    <w:p w14:paraId="4142EEA4" w14:textId="77777777" w:rsidR="006111EE" w:rsidRPr="00BC6A90" w:rsidRDefault="006111EE" w:rsidP="006111EE">
      <w:pPr>
        <w:rPr>
          <w:rFonts w:ascii="Century Gothic" w:hAnsi="Century Gothic"/>
          <w:sz w:val="20"/>
        </w:rPr>
      </w:pPr>
    </w:p>
    <w:p w14:paraId="3FC9EB36" w14:textId="77777777" w:rsidR="006111EE" w:rsidRPr="00BC6A90" w:rsidRDefault="006111EE" w:rsidP="006111EE">
      <w:pPr>
        <w:rPr>
          <w:rFonts w:ascii="Century Gothic" w:hAnsi="Century Gothic"/>
          <w:sz w:val="20"/>
        </w:rPr>
      </w:pPr>
    </w:p>
    <w:p w14:paraId="40514418" w14:textId="77777777" w:rsidR="006111EE" w:rsidRPr="00BC6A90" w:rsidRDefault="006111EE" w:rsidP="006111EE">
      <w:pPr>
        <w:pStyle w:val="NoSpacing"/>
        <w:rPr>
          <w:rFonts w:ascii="Century Gothic" w:hAnsi="Century Gothic"/>
          <w:sz w:val="20"/>
        </w:rPr>
      </w:pPr>
    </w:p>
    <w:p w14:paraId="08AE1F85" w14:textId="77777777" w:rsidR="006111EE" w:rsidRDefault="006111EE">
      <w:pPr>
        <w:pStyle w:val="Default"/>
        <w:rPr>
          <w:b/>
        </w:rPr>
      </w:pPr>
    </w:p>
    <w:p w14:paraId="1AFBD9C8" w14:textId="77777777" w:rsidR="006111EE" w:rsidRDefault="006111EE">
      <w:pPr>
        <w:pStyle w:val="Default"/>
        <w:rPr>
          <w:b/>
        </w:rPr>
      </w:pPr>
    </w:p>
    <w:sectPr w:rsidR="006111EE">
      <w:footerReference w:type="default" r:id="rId24"/>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EA6EF" w14:textId="77777777" w:rsidR="00EE15D8" w:rsidRDefault="00EE15D8">
      <w:pPr>
        <w:spacing w:after="0" w:line="240" w:lineRule="auto"/>
      </w:pPr>
      <w:r>
        <w:separator/>
      </w:r>
    </w:p>
  </w:endnote>
  <w:endnote w:type="continuationSeparator" w:id="0">
    <w:p w14:paraId="40899C72" w14:textId="77777777" w:rsidR="00EE15D8" w:rsidRDefault="00EE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558B4155" w14:textId="77777777" w:rsidR="00F2470E" w:rsidRDefault="00A728FD">
        <w:pPr>
          <w:pStyle w:val="Footer"/>
          <w:jc w:val="center"/>
        </w:pPr>
        <w:r>
          <w:rPr>
            <w:noProof/>
            <w:lang w:eastAsia="en-GB"/>
          </w:rPr>
          <mc:AlternateContent>
            <mc:Choice Requires="wps">
              <w:drawing>
                <wp:inline distT="0" distB="0" distL="0" distR="0" wp14:anchorId="22FA90C3" wp14:editId="019049E2">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A563DC2"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98C1A30"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2EBE3" w14:textId="77777777" w:rsidR="00EE15D8" w:rsidRDefault="00EE15D8">
      <w:pPr>
        <w:spacing w:after="0" w:line="240" w:lineRule="auto"/>
      </w:pPr>
      <w:r>
        <w:separator/>
      </w:r>
    </w:p>
  </w:footnote>
  <w:footnote w:type="continuationSeparator" w:id="0">
    <w:p w14:paraId="4918A29E" w14:textId="77777777" w:rsidR="00EE15D8" w:rsidRDefault="00EE15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09.25pt;height:332.25pt" o:bullet="t">
        <v:imagedata r:id="rId1" o:title="TK_LOGO_POINTER_RGB_bullet_blu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16440897">
    <w:abstractNumId w:val="16"/>
  </w:num>
  <w:num w:numId="2" w16cid:durableId="1919442963">
    <w:abstractNumId w:val="10"/>
  </w:num>
  <w:num w:numId="3" w16cid:durableId="1234118839">
    <w:abstractNumId w:val="12"/>
  </w:num>
  <w:num w:numId="4" w16cid:durableId="1795249027">
    <w:abstractNumId w:val="13"/>
  </w:num>
  <w:num w:numId="5" w16cid:durableId="487288067">
    <w:abstractNumId w:val="5"/>
  </w:num>
  <w:num w:numId="6" w16cid:durableId="1744908476">
    <w:abstractNumId w:val="9"/>
  </w:num>
  <w:num w:numId="7" w16cid:durableId="109707807">
    <w:abstractNumId w:val="2"/>
  </w:num>
  <w:num w:numId="8" w16cid:durableId="1083188528">
    <w:abstractNumId w:val="4"/>
  </w:num>
  <w:num w:numId="9" w16cid:durableId="1629970343">
    <w:abstractNumId w:val="3"/>
  </w:num>
  <w:num w:numId="10" w16cid:durableId="2037804899">
    <w:abstractNumId w:val="8"/>
  </w:num>
  <w:num w:numId="11" w16cid:durableId="1437362351">
    <w:abstractNumId w:val="7"/>
  </w:num>
  <w:num w:numId="12" w16cid:durableId="711733021">
    <w:abstractNumId w:val="0"/>
  </w:num>
  <w:num w:numId="13" w16cid:durableId="1500848141">
    <w:abstractNumId w:val="15"/>
  </w:num>
  <w:num w:numId="14" w16cid:durableId="2008511374">
    <w:abstractNumId w:val="14"/>
  </w:num>
  <w:num w:numId="15" w16cid:durableId="1111243788">
    <w:abstractNumId w:val="6"/>
  </w:num>
  <w:num w:numId="16" w16cid:durableId="202406745">
    <w:abstractNumId w:val="11"/>
  </w:num>
  <w:num w:numId="17" w16cid:durableId="1337224457">
    <w:abstractNumId w:val="1"/>
  </w:num>
  <w:num w:numId="18" w16cid:durableId="16141644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64CBD"/>
    <w:rsid w:val="00375F9C"/>
    <w:rsid w:val="003D4896"/>
    <w:rsid w:val="004C0DDB"/>
    <w:rsid w:val="005A6D25"/>
    <w:rsid w:val="006111EE"/>
    <w:rsid w:val="00684651"/>
    <w:rsid w:val="00756CF7"/>
    <w:rsid w:val="00930E8C"/>
    <w:rsid w:val="00953C43"/>
    <w:rsid w:val="009A1E01"/>
    <w:rsid w:val="00A728FD"/>
    <w:rsid w:val="00BA6972"/>
    <w:rsid w:val="00D41A4A"/>
    <w:rsid w:val="00EE15D8"/>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2698EB47"/>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6111EE"/>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6111EE"/>
    <w:rPr>
      <w:rFonts w:ascii="Arial" w:eastAsia="Calibri" w:hAnsi="Arial" w:cs="Arial"/>
      <w:b/>
      <w:color w:val="FF1F64"/>
      <w:sz w:val="28"/>
      <w:szCs w:val="36"/>
    </w:rPr>
  </w:style>
  <w:style w:type="paragraph" w:styleId="NoSpacing">
    <w:name w:val="No Spacing"/>
    <w:uiPriority w:val="1"/>
    <w:qFormat/>
    <w:rsid w:val="006111EE"/>
    <w:pPr>
      <w:spacing w:after="0" w:line="240" w:lineRule="auto"/>
    </w:pPr>
  </w:style>
  <w:style w:type="character" w:styleId="Hyperlink">
    <w:name w:val="Hyperlink"/>
    <w:rsid w:val="006111EE"/>
    <w:rPr>
      <w:color w:val="0000FF"/>
      <w:u w:val="single"/>
    </w:rPr>
  </w:style>
  <w:style w:type="paragraph" w:customStyle="1" w:styleId="1bodycopy10pt">
    <w:name w:val="1 body copy 10pt"/>
    <w:basedOn w:val="Normal"/>
    <w:link w:val="1bodycopy10ptChar"/>
    <w:qFormat/>
    <w:rsid w:val="006111EE"/>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6111EE"/>
    <w:pPr>
      <w:numPr>
        <w:numId w:val="18"/>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6111EE"/>
    <w:rPr>
      <w:rFonts w:ascii="Arial" w:eastAsia="MS Mincho" w:hAnsi="Arial" w:cs="Times New Roman"/>
      <w:sz w:val="20"/>
      <w:szCs w:val="24"/>
      <w:lang w:val="en-US"/>
    </w:rPr>
  </w:style>
  <w:style w:type="paragraph" w:customStyle="1" w:styleId="Tablebodycopy">
    <w:name w:val="Table body copy"/>
    <w:basedOn w:val="1bodycopy10pt"/>
    <w:qFormat/>
    <w:rsid w:val="006111EE"/>
    <w:pPr>
      <w:keepLines/>
      <w:spacing w:after="60"/>
      <w:textboxTightWrap w:val="allLines"/>
    </w:pPr>
  </w:style>
  <w:style w:type="paragraph" w:customStyle="1" w:styleId="1bodycopy">
    <w:name w:val="1 body copy"/>
    <w:basedOn w:val="Normal"/>
    <w:link w:val="1bodycopyChar"/>
    <w:qFormat/>
    <w:rsid w:val="006111EE"/>
    <w:pPr>
      <w:spacing w:after="120" w:line="240" w:lineRule="auto"/>
    </w:pPr>
    <w:rPr>
      <w:rFonts w:ascii="Arial" w:eastAsia="Wingdings" w:hAnsi="Arial" w:cs="Calibri Light"/>
      <w:sz w:val="20"/>
      <w:szCs w:val="24"/>
      <w:lang w:val="en-US"/>
    </w:rPr>
  </w:style>
  <w:style w:type="character" w:customStyle="1" w:styleId="1bodycopyChar">
    <w:name w:val="1 body copy Char"/>
    <w:link w:val="1bodycopy"/>
    <w:rsid w:val="006111EE"/>
    <w:rPr>
      <w:rFonts w:ascii="Arial" w:eastAsia="Wingdings" w:hAnsi="Arial" w:cs="Calibri Light"/>
      <w:sz w:val="20"/>
      <w:szCs w:val="24"/>
      <w:lang w:val="en-US"/>
    </w:rPr>
  </w:style>
  <w:style w:type="character" w:styleId="CommentReference">
    <w:name w:val="annotation reference"/>
    <w:basedOn w:val="DefaultParagraphFont"/>
    <w:uiPriority w:val="99"/>
    <w:semiHidden/>
    <w:unhideWhenUsed/>
    <w:rsid w:val="00BA6972"/>
    <w:rPr>
      <w:sz w:val="16"/>
      <w:szCs w:val="16"/>
    </w:rPr>
  </w:style>
  <w:style w:type="paragraph" w:styleId="CommentText">
    <w:name w:val="annotation text"/>
    <w:basedOn w:val="Normal"/>
    <w:link w:val="CommentTextChar"/>
    <w:uiPriority w:val="99"/>
    <w:unhideWhenUsed/>
    <w:rsid w:val="00BA6972"/>
    <w:pPr>
      <w:spacing w:line="240" w:lineRule="auto"/>
    </w:pPr>
    <w:rPr>
      <w:sz w:val="20"/>
      <w:szCs w:val="20"/>
    </w:rPr>
  </w:style>
  <w:style w:type="character" w:customStyle="1" w:styleId="CommentTextChar">
    <w:name w:val="Comment Text Char"/>
    <w:basedOn w:val="DefaultParagraphFont"/>
    <w:link w:val="CommentText"/>
    <w:uiPriority w:val="99"/>
    <w:rsid w:val="00BA6972"/>
    <w:rPr>
      <w:sz w:val="20"/>
      <w:szCs w:val="20"/>
    </w:rPr>
  </w:style>
  <w:style w:type="paragraph" w:styleId="CommentSubject">
    <w:name w:val="annotation subject"/>
    <w:basedOn w:val="CommentText"/>
    <w:next w:val="CommentText"/>
    <w:link w:val="CommentSubjectChar"/>
    <w:uiPriority w:val="99"/>
    <w:semiHidden/>
    <w:unhideWhenUsed/>
    <w:rsid w:val="00BA6972"/>
    <w:rPr>
      <w:b/>
      <w:bCs/>
    </w:rPr>
  </w:style>
  <w:style w:type="character" w:customStyle="1" w:styleId="CommentSubjectChar">
    <w:name w:val="Comment Subject Char"/>
    <w:basedOn w:val="CommentTextChar"/>
    <w:link w:val="CommentSubject"/>
    <w:uiPriority w:val="99"/>
    <w:semiHidden/>
    <w:rsid w:val="00BA69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hyperlink" Target="https://www.gov.uk/guidance/good-estate-management-for-school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hse.gov.uk/pubns/books/l122.htm"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gov.uk/government/publications/early-years-foundation-stage-framework--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si/2012/1943/contents/made" TargetMode="External"/><Relationship Id="rId20" Type="http://schemas.openxmlformats.org/officeDocument/2006/relationships/hyperlink" Target="http://www.hse.gov.uk/pubns/indg23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pga/1974/37/contents" TargetMode="External"/><Relationship Id="rId23" Type="http://schemas.openxmlformats.org/officeDocument/2006/relationships/hyperlink" Target="http://www.hse.gov.uk/pubns/books/hsg97.htm" TargetMode="External"/><Relationship Id="rId10" Type="http://schemas.openxmlformats.org/officeDocument/2006/relationships/endnotes" Target="endnotes.xml"/><Relationship Id="rId19" Type="http://schemas.openxmlformats.org/officeDocument/2006/relationships/hyperlink" Target="https://www.gov.uk/guidance/good-estate-management-for-schools/health-and-safe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yperlink" Target="http://www.hse.gov.uk/pubns/books/hsg274.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32d39441f29e8df922f05e4d1a0b750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af043552632d226811a8700e318d1f46"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5E68591C-69EC-43C9-8209-132E3ED31A5E}"/>
</file>

<file path=customXml/itemProps2.xml><?xml version="1.0" encoding="utf-8"?>
<ds:datastoreItem xmlns:ds="http://schemas.openxmlformats.org/officeDocument/2006/customXml" ds:itemID="{2F389051-E9C4-45EC-AFBE-A6765B61FF39}">
  <ds:schemaRefs>
    <ds:schemaRef ds:uri="http://schemas.openxmlformats.org/officeDocument/2006/bibliography"/>
  </ds:schemaRefs>
</ds:datastoreItem>
</file>

<file path=customXml/itemProps3.xml><?xml version="1.0" encoding="utf-8"?>
<ds:datastoreItem xmlns:ds="http://schemas.openxmlformats.org/officeDocument/2006/customXml" ds:itemID="{17D86CBA-0B08-456E-9760-EF8740F27493}">
  <ds:schemaRefs>
    <ds:schemaRef ds:uri="http://schemas.microsoft.com/sharepoint/v3/contenttype/forms"/>
  </ds:schemaRefs>
</ds:datastoreItem>
</file>

<file path=customXml/itemProps4.xml><?xml version="1.0" encoding="utf-8"?>
<ds:datastoreItem xmlns:ds="http://schemas.openxmlformats.org/officeDocument/2006/customXml" ds:itemID="{569063BD-3DFA-4E2B-A9ED-30B497030F6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1402</Words>
  <Characters>7978</Characters>
  <Application>Microsoft Office Word</Application>
  <DocSecurity>0</DocSecurity>
  <Lines>362</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6</cp:revision>
  <cp:lastPrinted>2024-01-23T14:06:00Z</cp:lastPrinted>
  <dcterms:created xsi:type="dcterms:W3CDTF">2024-03-18T09:39:00Z</dcterms:created>
  <dcterms:modified xsi:type="dcterms:W3CDTF">2025-12-11T15:11:00Z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8181800</vt:r8>
  </property>
  <property fmtid="{D5CDD505-2E9C-101B-9397-08002B2CF9AE}" pid="4" name="MediaServiceImageTags">
    <vt:lpwstr/>
  </property>
</Properties>
</file>